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899B1" w14:textId="77777777" w:rsidR="00E10D2C" w:rsidRDefault="00E10D2C" w:rsidP="00E10D2C">
      <w:pPr>
        <w:pStyle w:val="Podtytu"/>
        <w:spacing w:before="144" w:after="144"/>
        <w:rPr>
          <w:rFonts w:ascii="Open Sans" w:eastAsia="Open Sans" w:hAnsi="Open Sans" w:cs="Open Sans"/>
          <w:b/>
          <w:sz w:val="21"/>
          <w:szCs w:val="21"/>
        </w:rPr>
      </w:pPr>
      <w:r>
        <w:rPr>
          <w:rFonts w:ascii="Open Sans" w:eastAsia="Open Sans" w:hAnsi="Open Sans" w:cs="Open Sans"/>
          <w:b/>
          <w:noProof/>
          <w:sz w:val="21"/>
          <w:szCs w:val="21"/>
        </w:rPr>
        <w:drawing>
          <wp:inline distT="0" distB="0" distL="0" distR="0" wp14:anchorId="077FE484" wp14:editId="506E51D3">
            <wp:extent cx="5731510" cy="1648046"/>
            <wp:effectExtent l="0" t="0" r="0" b="0"/>
            <wp:docPr id="1740835772" name="image1.jpg" descr="Obraz zawierający tekst, Czcionka, zrzut ekranu, Jaskrawoniebieski&#10;&#10;Zawartość wygenerowana przez sztuczną inteligencję może być niepoprawna."/>
            <wp:cNvGraphicFramePr/>
            <a:graphic xmlns:a="http://schemas.openxmlformats.org/drawingml/2006/main">
              <a:graphicData uri="http://schemas.openxmlformats.org/drawingml/2006/picture">
                <pic:pic xmlns:pic="http://schemas.openxmlformats.org/drawingml/2006/picture">
                  <pic:nvPicPr>
                    <pic:cNvPr id="0" name="image1.jpg" descr="Obraz zawierający tekst, Czcionka, zrzut ekranu, Jaskrawoniebieski&#10;&#10;Zawartość wygenerowana przez sztuczną inteligencję może być niepoprawna."/>
                    <pic:cNvPicPr preferRelativeResize="0"/>
                  </pic:nvPicPr>
                  <pic:blipFill>
                    <a:blip r:embed="rId5"/>
                    <a:srcRect/>
                    <a:stretch>
                      <a:fillRect/>
                    </a:stretch>
                  </pic:blipFill>
                  <pic:spPr>
                    <a:xfrm>
                      <a:off x="0" y="0"/>
                      <a:ext cx="5731510" cy="1648046"/>
                    </a:xfrm>
                    <a:prstGeom prst="rect">
                      <a:avLst/>
                    </a:prstGeom>
                    <a:ln/>
                  </pic:spPr>
                </pic:pic>
              </a:graphicData>
            </a:graphic>
          </wp:inline>
        </w:drawing>
      </w:r>
    </w:p>
    <w:p w14:paraId="3CAD004E" w14:textId="77777777" w:rsidR="00E10D2C" w:rsidRDefault="00E10D2C" w:rsidP="00E10D2C">
      <w:pPr>
        <w:pBdr>
          <w:top w:val="nil"/>
          <w:left w:val="nil"/>
          <w:bottom w:val="nil"/>
          <w:right w:val="nil"/>
          <w:between w:val="nil"/>
        </w:pBdr>
        <w:tabs>
          <w:tab w:val="center" w:pos="4536"/>
          <w:tab w:val="right" w:pos="9072"/>
        </w:tabs>
        <w:spacing w:after="0"/>
        <w:rPr>
          <w:rFonts w:ascii="Open Sans" w:eastAsia="Open Sans" w:hAnsi="Open Sans" w:cs="Open Sans"/>
          <w:b/>
          <w:color w:val="0B5394"/>
          <w:sz w:val="30"/>
          <w:szCs w:val="30"/>
        </w:rPr>
      </w:pPr>
      <w:r>
        <w:rPr>
          <w:rFonts w:ascii="Open Sans" w:eastAsia="Open Sans" w:hAnsi="Open Sans" w:cs="Open Sans"/>
          <w:b/>
          <w:color w:val="0B5394"/>
          <w:sz w:val="30"/>
          <w:szCs w:val="30"/>
        </w:rPr>
        <w:t xml:space="preserve">Annex 9 </w:t>
      </w:r>
    </w:p>
    <w:p w14:paraId="53F1847B" w14:textId="77777777" w:rsidR="00E10D2C" w:rsidRDefault="00E10D2C" w:rsidP="00E10D2C">
      <w:pPr>
        <w:pBdr>
          <w:top w:val="nil"/>
          <w:left w:val="nil"/>
          <w:bottom w:val="nil"/>
          <w:right w:val="nil"/>
          <w:between w:val="nil"/>
        </w:pBdr>
        <w:tabs>
          <w:tab w:val="center" w:pos="4536"/>
          <w:tab w:val="right" w:pos="9072"/>
        </w:tabs>
        <w:spacing w:after="0"/>
        <w:rPr>
          <w:rFonts w:ascii="Open Sans" w:eastAsia="Open Sans" w:hAnsi="Open Sans" w:cs="Open Sans"/>
          <w:b/>
          <w:color w:val="0B5394"/>
          <w:sz w:val="30"/>
          <w:szCs w:val="30"/>
        </w:rPr>
      </w:pPr>
      <w:r>
        <w:rPr>
          <w:rFonts w:ascii="Open Sans" w:eastAsia="Open Sans" w:hAnsi="Open Sans" w:cs="Open Sans"/>
          <w:b/>
          <w:color w:val="0B5394"/>
          <w:sz w:val="30"/>
          <w:szCs w:val="30"/>
        </w:rPr>
        <w:t xml:space="preserve">to the Manual for small projects </w:t>
      </w:r>
    </w:p>
    <w:p w14:paraId="73743BD8" w14:textId="77777777" w:rsidR="00E10D2C" w:rsidRDefault="00E10D2C" w:rsidP="00E10D2C">
      <w:pPr>
        <w:spacing w:before="144" w:after="144"/>
        <w:rPr>
          <w:rFonts w:ascii="Open Sans" w:eastAsia="Open Sans" w:hAnsi="Open Sans" w:cs="Open Sans"/>
          <w:b/>
          <w:i/>
          <w:color w:val="0B5394"/>
        </w:rPr>
      </w:pPr>
    </w:p>
    <w:p w14:paraId="4D28D384" w14:textId="77777777" w:rsidR="00E10D2C" w:rsidRDefault="00E10D2C" w:rsidP="00E10D2C">
      <w:pPr>
        <w:spacing w:before="120" w:after="0"/>
        <w:rPr>
          <w:rFonts w:ascii="Open Sans" w:eastAsia="Open Sans" w:hAnsi="Open Sans" w:cs="Open Sans"/>
          <w:b/>
          <w:color w:val="0B5394"/>
          <w:sz w:val="38"/>
          <w:szCs w:val="38"/>
        </w:rPr>
      </w:pPr>
      <w:r>
        <w:rPr>
          <w:rFonts w:ascii="Open Sans" w:eastAsia="Open Sans" w:hAnsi="Open Sans" w:cs="Open Sans"/>
          <w:b/>
          <w:color w:val="0B5394"/>
          <w:sz w:val="38"/>
          <w:szCs w:val="38"/>
        </w:rPr>
        <w:t>RULES OF PROCEDURE OF</w:t>
      </w:r>
    </w:p>
    <w:p w14:paraId="32474725" w14:textId="77777777" w:rsidR="00E10D2C" w:rsidRDefault="00E10D2C" w:rsidP="00E10D2C">
      <w:pPr>
        <w:spacing w:after="0"/>
        <w:rPr>
          <w:rFonts w:ascii="Open Sans" w:eastAsia="Open Sans" w:hAnsi="Open Sans" w:cs="Open Sans"/>
          <w:b/>
          <w:color w:val="0B5394"/>
          <w:sz w:val="38"/>
          <w:szCs w:val="38"/>
        </w:rPr>
      </w:pPr>
      <w:r>
        <w:rPr>
          <w:rFonts w:ascii="Open Sans" w:eastAsia="Open Sans" w:hAnsi="Open Sans" w:cs="Open Sans"/>
          <w:b/>
          <w:color w:val="0B5394"/>
          <w:sz w:val="38"/>
          <w:szCs w:val="38"/>
        </w:rPr>
        <w:t xml:space="preserve">SELECTION AND WORK OF EXPERTS </w:t>
      </w:r>
    </w:p>
    <w:p w14:paraId="73812843" w14:textId="77777777" w:rsidR="00E10D2C" w:rsidRDefault="00E10D2C" w:rsidP="00E10D2C">
      <w:pPr>
        <w:spacing w:after="0"/>
        <w:rPr>
          <w:rFonts w:ascii="Open Sans" w:eastAsia="Open Sans" w:hAnsi="Open Sans" w:cs="Open Sans"/>
          <w:b/>
          <w:color w:val="0B5394"/>
          <w:sz w:val="38"/>
          <w:szCs w:val="38"/>
        </w:rPr>
      </w:pPr>
      <w:r>
        <w:rPr>
          <w:rFonts w:ascii="Open Sans" w:eastAsia="Open Sans" w:hAnsi="Open Sans" w:cs="Open Sans"/>
          <w:b/>
          <w:color w:val="0B5394"/>
          <w:sz w:val="38"/>
          <w:szCs w:val="38"/>
        </w:rPr>
        <w:t xml:space="preserve">FOR THE SMALL PROJECTS FUND IMPLEMENTED UNDER THE INTERREG NEXT POLAND – UKRAINE 2021-2027 PROGRAMME </w:t>
      </w:r>
    </w:p>
    <w:p w14:paraId="3CF279AB" w14:textId="77777777" w:rsidR="00E10D2C" w:rsidRDefault="00E10D2C" w:rsidP="00E10D2C">
      <w:pPr>
        <w:spacing w:after="23"/>
        <w:rPr>
          <w:rFonts w:ascii="Open Sans" w:eastAsia="Open Sans" w:hAnsi="Open Sans" w:cs="Open Sans"/>
          <w:b/>
          <w:color w:val="2F5496"/>
          <w:sz w:val="38"/>
          <w:szCs w:val="38"/>
        </w:rPr>
      </w:pPr>
    </w:p>
    <w:p w14:paraId="3D325B2E" w14:textId="77777777" w:rsidR="00E10D2C" w:rsidRDefault="00E10D2C" w:rsidP="00E10D2C">
      <w:pPr>
        <w:spacing w:after="23"/>
        <w:rPr>
          <w:rFonts w:ascii="Open Sans" w:eastAsia="Open Sans" w:hAnsi="Open Sans" w:cs="Open Sans"/>
          <w:b/>
          <w:color w:val="2F5496"/>
          <w:sz w:val="38"/>
          <w:szCs w:val="38"/>
        </w:rPr>
      </w:pPr>
    </w:p>
    <w:p w14:paraId="4FE0C72E" w14:textId="77777777" w:rsidR="00E10D2C" w:rsidRDefault="00E10D2C" w:rsidP="00E10D2C">
      <w:pPr>
        <w:spacing w:after="23"/>
        <w:rPr>
          <w:rFonts w:ascii="Open Sans" w:eastAsia="Open Sans" w:hAnsi="Open Sans" w:cs="Open Sans"/>
          <w:b/>
          <w:color w:val="2F5496"/>
          <w:sz w:val="38"/>
          <w:szCs w:val="38"/>
        </w:rPr>
      </w:pPr>
    </w:p>
    <w:p w14:paraId="7D4616E2" w14:textId="77777777" w:rsidR="00E10D2C" w:rsidRDefault="00E10D2C" w:rsidP="00E10D2C">
      <w:pPr>
        <w:spacing w:after="23"/>
        <w:rPr>
          <w:rFonts w:ascii="Open Sans" w:eastAsia="Open Sans" w:hAnsi="Open Sans" w:cs="Open Sans"/>
          <w:b/>
          <w:color w:val="2F5496"/>
          <w:sz w:val="38"/>
          <w:szCs w:val="38"/>
        </w:rPr>
      </w:pPr>
    </w:p>
    <w:p w14:paraId="04E8E0E1" w14:textId="77777777" w:rsidR="00E10D2C" w:rsidRDefault="00E10D2C" w:rsidP="00E10D2C">
      <w:pPr>
        <w:spacing w:after="23"/>
        <w:rPr>
          <w:rFonts w:ascii="Open Sans" w:eastAsia="Open Sans" w:hAnsi="Open Sans" w:cs="Open Sans"/>
          <w:b/>
          <w:color w:val="2F5496"/>
          <w:sz w:val="38"/>
          <w:szCs w:val="38"/>
        </w:rPr>
      </w:pPr>
    </w:p>
    <w:p w14:paraId="7507C61E" w14:textId="77777777" w:rsidR="00E10D2C" w:rsidRDefault="00E10D2C" w:rsidP="00E10D2C">
      <w:pPr>
        <w:spacing w:after="23"/>
        <w:rPr>
          <w:rFonts w:ascii="Open Sans" w:eastAsia="Open Sans" w:hAnsi="Open Sans" w:cs="Open Sans"/>
          <w:b/>
          <w:color w:val="2F5496"/>
          <w:sz w:val="38"/>
          <w:szCs w:val="38"/>
        </w:rPr>
      </w:pPr>
    </w:p>
    <w:p w14:paraId="46485772" w14:textId="77777777" w:rsidR="00E10D2C" w:rsidRDefault="00E10D2C" w:rsidP="00E10D2C">
      <w:pPr>
        <w:spacing w:after="23"/>
        <w:rPr>
          <w:rFonts w:ascii="Open Sans" w:eastAsia="Open Sans" w:hAnsi="Open Sans" w:cs="Open Sans"/>
          <w:b/>
          <w:color w:val="2F5496"/>
          <w:sz w:val="38"/>
          <w:szCs w:val="38"/>
        </w:rPr>
      </w:pPr>
    </w:p>
    <w:p w14:paraId="604F95A4" w14:textId="77777777" w:rsidR="00E10D2C" w:rsidRDefault="00E10D2C" w:rsidP="00E10D2C">
      <w:pPr>
        <w:spacing w:after="23"/>
        <w:rPr>
          <w:rFonts w:ascii="Open Sans" w:eastAsia="Open Sans" w:hAnsi="Open Sans" w:cs="Open Sans"/>
          <w:b/>
          <w:color w:val="2F5496"/>
          <w:sz w:val="38"/>
          <w:szCs w:val="38"/>
        </w:rPr>
      </w:pPr>
    </w:p>
    <w:p w14:paraId="682C9DA0" w14:textId="77777777" w:rsidR="00E10D2C" w:rsidRDefault="00E10D2C" w:rsidP="00E10D2C">
      <w:pPr>
        <w:spacing w:after="23"/>
        <w:rPr>
          <w:rFonts w:ascii="Open Sans" w:eastAsia="Open Sans" w:hAnsi="Open Sans" w:cs="Open Sans"/>
          <w:b/>
          <w:color w:val="2F5496"/>
          <w:sz w:val="38"/>
          <w:szCs w:val="38"/>
        </w:rPr>
      </w:pPr>
    </w:p>
    <w:p w14:paraId="12A7F64B" w14:textId="77777777" w:rsidR="00E10D2C" w:rsidRDefault="00E10D2C" w:rsidP="00E10D2C">
      <w:pPr>
        <w:spacing w:after="23"/>
        <w:rPr>
          <w:rFonts w:ascii="Open Sans" w:eastAsia="Open Sans" w:hAnsi="Open Sans" w:cs="Open Sans"/>
          <w:b/>
          <w:color w:val="2F5496"/>
          <w:sz w:val="38"/>
          <w:szCs w:val="38"/>
        </w:rPr>
      </w:pPr>
    </w:p>
    <w:p w14:paraId="50A055B1" w14:textId="77777777" w:rsidR="00E10D2C" w:rsidRDefault="00E10D2C" w:rsidP="00E10D2C">
      <w:pPr>
        <w:spacing w:before="23" w:after="144"/>
        <w:rPr>
          <w:rFonts w:ascii="Open Sans" w:eastAsia="Open Sans" w:hAnsi="Open Sans" w:cs="Open Sans"/>
          <w:b/>
          <w:color w:val="0B5394"/>
          <w:sz w:val="38"/>
          <w:szCs w:val="38"/>
        </w:rPr>
      </w:pPr>
      <w:r>
        <w:rPr>
          <w:rFonts w:ascii="Open Sans" w:eastAsia="Open Sans" w:hAnsi="Open Sans" w:cs="Open Sans"/>
          <w:b/>
          <w:color w:val="2F5496"/>
          <w:sz w:val="38"/>
          <w:szCs w:val="38"/>
        </w:rPr>
        <w:lastRenderedPageBreak/>
        <w:t xml:space="preserve"> </w:t>
      </w:r>
      <w:r>
        <w:rPr>
          <w:rFonts w:ascii="Open Sans" w:eastAsia="Open Sans" w:hAnsi="Open Sans" w:cs="Open Sans"/>
          <w:b/>
          <w:color w:val="0B5394"/>
          <w:sz w:val="38"/>
          <w:szCs w:val="38"/>
        </w:rPr>
        <w:t>INTRODUCTION</w:t>
      </w:r>
      <w:r>
        <w:rPr>
          <w:noProof/>
        </w:rPr>
        <mc:AlternateContent>
          <mc:Choice Requires="wps">
            <w:drawing>
              <wp:anchor distT="0" distB="0" distL="114300" distR="114300" simplePos="0" relativeHeight="251659264" behindDoc="0" locked="0" layoutInCell="1" hidden="0" allowOverlap="1" wp14:anchorId="3345FC7F" wp14:editId="1EF45CBF">
                <wp:simplePos x="0" y="0"/>
                <wp:positionH relativeFrom="column">
                  <wp:posOffset>22226</wp:posOffset>
                </wp:positionH>
                <wp:positionV relativeFrom="paragraph">
                  <wp:posOffset>317500</wp:posOffset>
                </wp:positionV>
                <wp:extent cx="0" cy="19050"/>
                <wp:effectExtent l="0" t="0" r="0" b="0"/>
                <wp:wrapNone/>
                <wp:docPr id="1740835771" name="Łącznik prosty ze strzałką 1740835771"/>
                <wp:cNvGraphicFramePr/>
                <a:graphic xmlns:a="http://schemas.openxmlformats.org/drawingml/2006/main">
                  <a:graphicData uri="http://schemas.microsoft.com/office/word/2010/wordprocessingShape">
                    <wps:wsp>
                      <wps:cNvCnPr/>
                      <wps:spPr>
                        <a:xfrm>
                          <a:off x="2385630" y="3780000"/>
                          <a:ext cx="5920740" cy="0"/>
                        </a:xfrm>
                        <a:prstGeom prst="straightConnector1">
                          <a:avLst/>
                        </a:prstGeom>
                        <a:noFill/>
                        <a:ln w="19050" cap="flat" cmpd="sng">
                          <a:solidFill>
                            <a:schemeClr val="accent1"/>
                          </a:solidFill>
                          <a:prstDash val="solid"/>
                          <a:miter lim="800000"/>
                          <a:headEnd type="none" w="sm" len="sm"/>
                          <a:tailEnd type="none" w="sm" len="sm"/>
                        </a:ln>
                      </wps:spPr>
                      <wps:bodyPr/>
                    </wps:wsp>
                  </a:graphicData>
                </a:graphic>
              </wp:anchor>
            </w:drawing>
          </mc:Choice>
          <mc:Fallback>
            <w:pict>
              <v:shapetype w14:anchorId="5CB284AF" id="_x0000_t32" coordsize="21600,21600" o:spt="32" o:oned="t" path="m,l21600,21600e" filled="f">
                <v:path arrowok="t" fillok="f" o:connecttype="none"/>
                <o:lock v:ext="edit" shapetype="t"/>
              </v:shapetype>
              <v:shape id="Łącznik prosty ze strzałką 1740835771" o:spid="_x0000_s1026" type="#_x0000_t32" style="position:absolute;margin-left:1.75pt;margin-top:25pt;width:0;height: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" strokecolor="#156082 [3204]" strokeweight="1.5pt">
                <v:stroke startarrowwidth="narrow" startarrowlength="short" endarrowwidth="narrow" endarrowlength="short" joinstyle="miter"/>
              </v:shape>
            </w:pict>
          </mc:Fallback>
        </mc:AlternateContent>
      </w:r>
    </w:p>
    <w:p w14:paraId="320434DA" w14:textId="77777777" w:rsidR="00E10D2C" w:rsidRDefault="00E10D2C" w:rsidP="00E10D2C">
      <w:pPr>
        <w:pBdr>
          <w:top w:val="nil"/>
          <w:left w:val="nil"/>
          <w:bottom w:val="nil"/>
          <w:right w:val="nil"/>
          <w:between w:val="nil"/>
        </w:pBdr>
        <w:spacing w:before="144" w:after="144"/>
        <w:jc w:val="both"/>
        <w:rPr>
          <w:rFonts w:ascii="Open Sans" w:eastAsia="Open Sans" w:hAnsi="Open Sans" w:cs="Open Sans"/>
          <w:color w:val="000000"/>
        </w:rPr>
      </w:pPr>
      <w:r>
        <w:rPr>
          <w:rFonts w:ascii="Open Sans" w:eastAsia="Open Sans" w:hAnsi="Open Sans" w:cs="Open Sans"/>
          <w:color w:val="000000"/>
          <w:sz w:val="21"/>
          <w:szCs w:val="21"/>
        </w:rPr>
        <w:t>The Small Projects Fund</w:t>
      </w:r>
      <w:r>
        <w:rPr>
          <w:color w:val="000000"/>
          <w:sz w:val="23"/>
          <w:szCs w:val="23"/>
        </w:rPr>
        <w:t xml:space="preserve"> </w:t>
      </w:r>
      <w:r>
        <w:rPr>
          <w:rFonts w:ascii="Open Sans" w:eastAsia="Open Sans" w:hAnsi="Open Sans" w:cs="Open Sans"/>
          <w:color w:val="000000"/>
          <w:sz w:val="21"/>
          <w:szCs w:val="21"/>
        </w:rPr>
        <w:t xml:space="preserve">Committee of the Interreg NEXT Poland-Ukraine 2021-2027 Programme (hereinafter "the Committee") acting on the basis of: </w:t>
      </w:r>
    </w:p>
    <w:p w14:paraId="666C68F5" w14:textId="77777777" w:rsidR="00E10D2C" w:rsidRDefault="00E10D2C" w:rsidP="00E10D2C">
      <w:pPr>
        <w:pBdr>
          <w:top w:val="nil"/>
          <w:left w:val="nil"/>
          <w:bottom w:val="nil"/>
          <w:right w:val="nil"/>
          <w:between w:val="nil"/>
        </w:pBdr>
        <w:spacing w:before="144" w:after="144"/>
        <w:jc w:val="both"/>
        <w:rPr>
          <w:rFonts w:ascii="Open Sans" w:eastAsia="Open Sans" w:hAnsi="Open Sans" w:cs="Open Sans"/>
          <w:color w:val="000000"/>
        </w:rPr>
      </w:pPr>
      <w:r>
        <w:rPr>
          <w:rFonts w:ascii="Open Sans" w:eastAsia="Open Sans" w:hAnsi="Open Sans" w:cs="Open Sans"/>
          <w:i/>
          <w:color w:val="000000"/>
          <w:sz w:val="21"/>
          <w:szCs w:val="21"/>
        </w:rPr>
        <w:t>Rules of Procedure of the</w:t>
      </w:r>
      <w:r>
        <w:rPr>
          <w:rFonts w:ascii="Open Sans" w:eastAsia="Open Sans" w:hAnsi="Open Sans" w:cs="Open Sans"/>
          <w:color w:val="000000"/>
          <w:sz w:val="21"/>
          <w:szCs w:val="21"/>
        </w:rPr>
        <w:t xml:space="preserve"> Small Project Fund</w:t>
      </w:r>
      <w:r>
        <w:rPr>
          <w:color w:val="000000"/>
          <w:sz w:val="21"/>
          <w:szCs w:val="21"/>
        </w:rPr>
        <w:t xml:space="preserve"> </w:t>
      </w:r>
      <w:r>
        <w:rPr>
          <w:rFonts w:ascii="Open Sans" w:eastAsia="Open Sans" w:hAnsi="Open Sans" w:cs="Open Sans"/>
          <w:color w:val="000000"/>
          <w:sz w:val="21"/>
          <w:szCs w:val="21"/>
        </w:rPr>
        <w:t xml:space="preserve">Committee of the Interreg NEXT Poland - Ukraine </w:t>
      </w:r>
      <w:r>
        <w:rPr>
          <w:rFonts w:ascii="Open Sans" w:eastAsia="Open Sans" w:hAnsi="Open Sans" w:cs="Open Sans"/>
          <w:i/>
          <w:color w:val="000000"/>
          <w:sz w:val="21"/>
          <w:szCs w:val="21"/>
        </w:rPr>
        <w:t>2021-2027 Programme</w:t>
      </w:r>
    </w:p>
    <w:p w14:paraId="68037012" w14:textId="77777777" w:rsidR="00E10D2C" w:rsidRDefault="00E10D2C" w:rsidP="00E10D2C">
      <w:pPr>
        <w:spacing w:before="144" w:after="144"/>
        <w:jc w:val="both"/>
        <w:rPr>
          <w:rFonts w:ascii="Open Sans" w:eastAsia="Open Sans" w:hAnsi="Open Sans" w:cs="Open Sans"/>
        </w:rPr>
      </w:pPr>
      <w:r>
        <w:rPr>
          <w:rFonts w:ascii="Open Sans" w:eastAsia="Open Sans" w:hAnsi="Open Sans" w:cs="Open Sans"/>
        </w:rPr>
        <w:t>Appoints a Team of experts</w:t>
      </w:r>
      <w:r>
        <w:t xml:space="preserve"> (</w:t>
      </w:r>
      <w:r>
        <w:rPr>
          <w:rFonts w:ascii="Open Sans" w:eastAsia="Open Sans" w:hAnsi="Open Sans" w:cs="Open Sans"/>
        </w:rPr>
        <w:t>comprising all experts evaluating projects in a given call for proposals) to carry out a qualitative assessment of applications for small projects submitted under the Small Project Fund (hereinafter "SPF") of the Interreg NEXT Poland-Ukraine 2021-2027</w:t>
      </w:r>
      <w:r>
        <w:t xml:space="preserve"> </w:t>
      </w:r>
      <w:r>
        <w:rPr>
          <w:rFonts w:ascii="Open Sans" w:eastAsia="Open Sans" w:hAnsi="Open Sans" w:cs="Open Sans"/>
        </w:rPr>
        <w:t>Programme</w:t>
      </w:r>
    </w:p>
    <w:p w14:paraId="66EF400C" w14:textId="77777777" w:rsidR="00E10D2C" w:rsidRDefault="00E10D2C" w:rsidP="00E10D2C">
      <w:pPr>
        <w:pBdr>
          <w:top w:val="nil"/>
          <w:left w:val="nil"/>
          <w:bottom w:val="nil"/>
          <w:right w:val="nil"/>
          <w:between w:val="nil"/>
        </w:pBdr>
        <w:spacing w:before="144" w:after="144"/>
        <w:rPr>
          <w:rFonts w:ascii="Open Sans" w:eastAsia="Open Sans" w:hAnsi="Open Sans" w:cs="Open Sans"/>
        </w:rPr>
      </w:pPr>
    </w:p>
    <w:p w14:paraId="03790094" w14:textId="77777777" w:rsidR="00E10D2C" w:rsidRDefault="00E10D2C" w:rsidP="00E10D2C">
      <w:pPr>
        <w:pBdr>
          <w:top w:val="nil"/>
          <w:left w:val="nil"/>
          <w:bottom w:val="nil"/>
          <w:right w:val="nil"/>
          <w:between w:val="nil"/>
        </w:pBdr>
        <w:spacing w:before="120" w:after="0"/>
        <w:jc w:val="center"/>
        <w:rPr>
          <w:rFonts w:ascii="Open Sans" w:eastAsia="Open Sans" w:hAnsi="Open Sans" w:cs="Open Sans"/>
          <w:color w:val="0B5394"/>
        </w:rPr>
      </w:pPr>
      <w:r>
        <w:rPr>
          <w:rFonts w:ascii="Open Sans" w:eastAsia="Open Sans" w:hAnsi="Open Sans" w:cs="Open Sans"/>
          <w:b/>
          <w:color w:val="0B5394"/>
          <w:sz w:val="21"/>
          <w:szCs w:val="21"/>
        </w:rPr>
        <w:t>§ 1</w:t>
      </w:r>
    </w:p>
    <w:p w14:paraId="5417D6AD" w14:textId="77777777" w:rsidR="00E10D2C" w:rsidRDefault="00E10D2C" w:rsidP="00E10D2C">
      <w:pPr>
        <w:pBdr>
          <w:top w:val="nil"/>
          <w:left w:val="nil"/>
          <w:bottom w:val="nil"/>
          <w:right w:val="nil"/>
          <w:between w:val="nil"/>
        </w:pBdr>
        <w:spacing w:after="60"/>
        <w:jc w:val="center"/>
        <w:rPr>
          <w:rFonts w:ascii="Open Sans" w:eastAsia="Open Sans" w:hAnsi="Open Sans" w:cs="Open Sans"/>
          <w:b/>
          <w:color w:val="0B5394"/>
        </w:rPr>
      </w:pPr>
      <w:r>
        <w:rPr>
          <w:rFonts w:ascii="Open Sans" w:eastAsia="Open Sans" w:hAnsi="Open Sans" w:cs="Open Sans"/>
          <w:b/>
          <w:color w:val="0B5394"/>
          <w:sz w:val="21"/>
          <w:szCs w:val="21"/>
        </w:rPr>
        <w:t>Selection of experts</w:t>
      </w:r>
    </w:p>
    <w:p w14:paraId="31938B6E" w14:textId="77777777" w:rsidR="00E10D2C" w:rsidRDefault="00E10D2C" w:rsidP="00E10D2C">
      <w:pPr>
        <w:numPr>
          <w:ilvl w:val="0"/>
          <w:numId w:val="8"/>
        </w:numPr>
        <w:pBdr>
          <w:top w:val="nil"/>
          <w:left w:val="nil"/>
          <w:bottom w:val="nil"/>
          <w:right w:val="nil"/>
          <w:between w:val="nil"/>
        </w:pBdr>
        <w:spacing w:before="120"/>
        <w:ind w:left="425" w:hanging="425"/>
        <w:jc w:val="both"/>
        <w:rPr>
          <w:rFonts w:ascii="Open Sans" w:eastAsia="Open Sans" w:hAnsi="Open Sans" w:cs="Open Sans"/>
          <w:color w:val="000000"/>
        </w:rPr>
      </w:pPr>
      <w:r>
        <w:rPr>
          <w:rFonts w:ascii="Open Sans" w:eastAsia="Open Sans" w:hAnsi="Open Sans" w:cs="Open Sans"/>
        </w:rPr>
        <w:t>An expert is a person with specialist knowledge and experience in a given field (listed below) who makes a qualitative assessment of small projects that have passed the formal assessment stage in a given call for proposals.</w:t>
      </w:r>
    </w:p>
    <w:p w14:paraId="0458D9F9" w14:textId="77777777" w:rsidR="00E10D2C" w:rsidRDefault="00E10D2C" w:rsidP="00E10D2C">
      <w:pPr>
        <w:numPr>
          <w:ilvl w:val="0"/>
          <w:numId w:val="8"/>
        </w:numPr>
        <w:pBdr>
          <w:top w:val="nil"/>
          <w:left w:val="nil"/>
          <w:bottom w:val="nil"/>
          <w:right w:val="nil"/>
          <w:between w:val="nil"/>
        </w:pBdr>
        <w:spacing w:before="120"/>
        <w:ind w:left="425" w:hanging="425"/>
        <w:jc w:val="both"/>
        <w:rPr>
          <w:rFonts w:ascii="Open Sans" w:eastAsia="Open Sans" w:hAnsi="Open Sans" w:cs="Open Sans"/>
          <w:color w:val="000000"/>
        </w:rPr>
      </w:pPr>
      <w:r>
        <w:rPr>
          <w:rFonts w:ascii="Open Sans" w:eastAsia="Open Sans" w:hAnsi="Open Sans" w:cs="Open Sans"/>
        </w:rPr>
        <w:t xml:space="preserve">The call for Polish and Ukrainian experts carrying out the qualitative assessment of applications for small projects is organised by the SPF Beneficiary. The call announcement shall be published </w:t>
      </w:r>
      <w:proofErr w:type="spellStart"/>
      <w:r>
        <w:rPr>
          <w:rFonts w:ascii="Open Sans" w:eastAsia="Open Sans" w:hAnsi="Open Sans" w:cs="Open Sans"/>
        </w:rPr>
        <w:t>i.a.</w:t>
      </w:r>
      <w:proofErr w:type="spellEnd"/>
      <w:r>
        <w:rPr>
          <w:rFonts w:ascii="Open Sans" w:eastAsia="Open Sans" w:hAnsi="Open Sans" w:cs="Open Sans"/>
        </w:rPr>
        <w:t xml:space="preserve"> on the SPF Beneficiaries’, website and social media or in the media.</w:t>
      </w:r>
    </w:p>
    <w:p w14:paraId="5FAEE538" w14:textId="77777777" w:rsidR="00E10D2C" w:rsidRDefault="00E10D2C" w:rsidP="00E10D2C">
      <w:pPr>
        <w:numPr>
          <w:ilvl w:val="0"/>
          <w:numId w:val="8"/>
        </w:numPr>
        <w:pBdr>
          <w:top w:val="nil"/>
          <w:left w:val="nil"/>
          <w:bottom w:val="nil"/>
          <w:right w:val="nil"/>
          <w:between w:val="nil"/>
        </w:pBdr>
        <w:spacing w:before="120" w:after="0"/>
        <w:ind w:left="425" w:hanging="425"/>
        <w:jc w:val="both"/>
        <w:rPr>
          <w:rFonts w:ascii="Open Sans" w:eastAsia="Open Sans" w:hAnsi="Open Sans" w:cs="Open Sans"/>
          <w:color w:val="000000"/>
        </w:rPr>
      </w:pPr>
      <w:r>
        <w:rPr>
          <w:rFonts w:ascii="Open Sans" w:eastAsia="Open Sans" w:hAnsi="Open Sans" w:cs="Open Sans"/>
          <w:color w:val="000000"/>
          <w:sz w:val="21"/>
          <w:szCs w:val="21"/>
        </w:rPr>
        <w:t>A person who meets the following general conditions may apply to be an expert:</w:t>
      </w:r>
    </w:p>
    <w:p w14:paraId="539C8549" w14:textId="77777777" w:rsidR="00E10D2C" w:rsidRDefault="00E10D2C" w:rsidP="00E10D2C">
      <w:pPr>
        <w:numPr>
          <w:ilvl w:val="0"/>
          <w:numId w:val="9"/>
        </w:numPr>
        <w:pBdr>
          <w:top w:val="nil"/>
          <w:left w:val="nil"/>
          <w:bottom w:val="nil"/>
          <w:right w:val="nil"/>
          <w:between w:val="nil"/>
        </w:pBdr>
        <w:spacing w:after="0"/>
        <w:ind w:left="851" w:hanging="426"/>
        <w:jc w:val="both"/>
        <w:rPr>
          <w:rFonts w:ascii="Open Sans" w:eastAsia="Open Sans" w:hAnsi="Open Sans" w:cs="Open Sans"/>
          <w:color w:val="000000"/>
        </w:rPr>
      </w:pPr>
      <w:r>
        <w:rPr>
          <w:rFonts w:ascii="Open Sans" w:eastAsia="Open Sans" w:hAnsi="Open Sans" w:cs="Open Sans"/>
          <w:color w:val="000000"/>
          <w:sz w:val="21"/>
          <w:szCs w:val="21"/>
        </w:rPr>
        <w:t xml:space="preserve">has made a declaration under penalty of perjury: </w:t>
      </w:r>
    </w:p>
    <w:p w14:paraId="36B22999" w14:textId="77777777" w:rsidR="00E10D2C" w:rsidRDefault="00E10D2C" w:rsidP="00E10D2C">
      <w:pPr>
        <w:numPr>
          <w:ilvl w:val="0"/>
          <w:numId w:val="1"/>
        </w:numPr>
        <w:pBdr>
          <w:top w:val="nil"/>
          <w:left w:val="nil"/>
          <w:bottom w:val="nil"/>
          <w:right w:val="nil"/>
          <w:between w:val="nil"/>
        </w:pBdr>
        <w:spacing w:after="0"/>
        <w:ind w:left="1145" w:hanging="294"/>
        <w:jc w:val="both"/>
        <w:rPr>
          <w:rFonts w:ascii="Open Sans" w:eastAsia="Open Sans" w:hAnsi="Open Sans" w:cs="Open Sans"/>
          <w:color w:val="000000"/>
        </w:rPr>
      </w:pPr>
      <w:r>
        <w:rPr>
          <w:rFonts w:ascii="Open Sans" w:eastAsia="Open Sans" w:hAnsi="Open Sans" w:cs="Open Sans"/>
          <w:color w:val="000000"/>
          <w:sz w:val="21"/>
          <w:szCs w:val="21"/>
        </w:rPr>
        <w:t xml:space="preserve">on the exercise of full public rights, </w:t>
      </w:r>
    </w:p>
    <w:p w14:paraId="6BF29185" w14:textId="77777777" w:rsidR="00E10D2C" w:rsidRDefault="00E10D2C" w:rsidP="00E10D2C">
      <w:pPr>
        <w:numPr>
          <w:ilvl w:val="0"/>
          <w:numId w:val="1"/>
        </w:numPr>
        <w:pBdr>
          <w:top w:val="nil"/>
          <w:left w:val="nil"/>
          <w:bottom w:val="nil"/>
          <w:right w:val="nil"/>
          <w:between w:val="nil"/>
        </w:pBdr>
        <w:spacing w:after="0"/>
        <w:ind w:left="1145" w:hanging="294"/>
        <w:jc w:val="both"/>
        <w:rPr>
          <w:rFonts w:ascii="Open Sans" w:eastAsia="Open Sans" w:hAnsi="Open Sans" w:cs="Open Sans"/>
          <w:color w:val="000000"/>
        </w:rPr>
      </w:pPr>
      <w:r>
        <w:rPr>
          <w:rFonts w:ascii="Open Sans" w:eastAsia="Open Sans" w:hAnsi="Open Sans" w:cs="Open Sans"/>
          <w:color w:val="000000"/>
          <w:sz w:val="21"/>
          <w:szCs w:val="21"/>
        </w:rPr>
        <w:t xml:space="preserve">to have full legal capacity, </w:t>
      </w:r>
    </w:p>
    <w:p w14:paraId="53C58B55" w14:textId="77777777" w:rsidR="00E10D2C" w:rsidRDefault="00E10D2C" w:rsidP="00E10D2C">
      <w:pPr>
        <w:numPr>
          <w:ilvl w:val="0"/>
          <w:numId w:val="1"/>
        </w:numPr>
        <w:pBdr>
          <w:top w:val="nil"/>
          <w:left w:val="nil"/>
          <w:bottom w:val="nil"/>
          <w:right w:val="nil"/>
          <w:between w:val="nil"/>
        </w:pBdr>
        <w:spacing w:after="0"/>
        <w:ind w:left="1145" w:hanging="294"/>
        <w:jc w:val="both"/>
        <w:rPr>
          <w:rFonts w:ascii="Open Sans" w:eastAsia="Open Sans" w:hAnsi="Open Sans" w:cs="Open Sans"/>
          <w:color w:val="000000"/>
        </w:rPr>
      </w:pPr>
      <w:r>
        <w:rPr>
          <w:rFonts w:ascii="Open Sans" w:eastAsia="Open Sans" w:hAnsi="Open Sans" w:cs="Open Sans"/>
          <w:color w:val="000000"/>
          <w:sz w:val="21"/>
          <w:szCs w:val="21"/>
        </w:rPr>
        <w:t>confirming that he or she has not been convicted of an intentional crime or an intentional fiscal offence by a judgment which has the force of res judicata,</w:t>
      </w:r>
    </w:p>
    <w:p w14:paraId="5C7F2AFF" w14:textId="77777777" w:rsidR="00E10D2C" w:rsidRDefault="00E10D2C" w:rsidP="00E10D2C">
      <w:pPr>
        <w:numPr>
          <w:ilvl w:val="0"/>
          <w:numId w:val="9"/>
        </w:numPr>
        <w:pBdr>
          <w:top w:val="nil"/>
          <w:left w:val="nil"/>
          <w:bottom w:val="nil"/>
          <w:right w:val="nil"/>
          <w:between w:val="nil"/>
        </w:pBdr>
        <w:spacing w:after="0"/>
        <w:ind w:left="851" w:hanging="426"/>
        <w:jc w:val="both"/>
        <w:rPr>
          <w:rFonts w:ascii="Open Sans" w:eastAsia="Open Sans" w:hAnsi="Open Sans" w:cs="Open Sans"/>
          <w:color w:val="000000"/>
        </w:rPr>
      </w:pPr>
      <w:r>
        <w:rPr>
          <w:rFonts w:ascii="Open Sans" w:eastAsia="Open Sans" w:hAnsi="Open Sans" w:cs="Open Sans"/>
          <w:color w:val="000000"/>
          <w:sz w:val="21"/>
          <w:szCs w:val="21"/>
        </w:rPr>
        <w:t xml:space="preserve">is not employed by the SPF Beneficiary, </w:t>
      </w:r>
    </w:p>
    <w:p w14:paraId="15A160CA" w14:textId="77777777" w:rsidR="00E10D2C" w:rsidRDefault="00E10D2C" w:rsidP="00E10D2C">
      <w:pPr>
        <w:numPr>
          <w:ilvl w:val="0"/>
          <w:numId w:val="9"/>
        </w:numPr>
        <w:pBdr>
          <w:top w:val="nil"/>
          <w:left w:val="nil"/>
          <w:bottom w:val="nil"/>
          <w:right w:val="nil"/>
          <w:between w:val="nil"/>
        </w:pBdr>
        <w:spacing w:after="0"/>
        <w:ind w:left="851" w:hanging="426"/>
        <w:jc w:val="both"/>
        <w:rPr>
          <w:rFonts w:ascii="Open Sans" w:eastAsia="Open Sans" w:hAnsi="Open Sans" w:cs="Open Sans"/>
          <w:color w:val="000000"/>
        </w:rPr>
      </w:pPr>
      <w:r>
        <w:rPr>
          <w:rFonts w:ascii="Open Sans" w:eastAsia="Open Sans" w:hAnsi="Open Sans" w:cs="Open Sans"/>
        </w:rPr>
        <w:t xml:space="preserve">has knowledge of issues and regulations concerning the use of European Union assistance funds, including in particular the Interreg NEXT Poland-Ukraine 2021-2027 Programme (knowledge of the </w:t>
      </w:r>
      <w:r>
        <w:rPr>
          <w:rFonts w:ascii="Open Sans" w:eastAsia="Open Sans" w:hAnsi="Open Sans" w:cs="Open Sans"/>
          <w:i/>
        </w:rPr>
        <w:t>Interreg NEXT Poland-Ukraine 2021-2027 Programme</w:t>
      </w:r>
      <w:r>
        <w:rPr>
          <w:rFonts w:ascii="Open Sans" w:eastAsia="Open Sans" w:hAnsi="Open Sans" w:cs="Open Sans"/>
        </w:rPr>
        <w:t xml:space="preserve"> and </w:t>
      </w:r>
      <w:r>
        <w:rPr>
          <w:rFonts w:ascii="Open Sans" w:eastAsia="Open Sans" w:hAnsi="Open Sans" w:cs="Open Sans"/>
          <w:i/>
        </w:rPr>
        <w:t>the Manual for small projects in the Interreg NEXT Poland-Ukraine 2021-2027 Programme</w:t>
      </w:r>
      <w:r>
        <w:rPr>
          <w:rFonts w:ascii="Open Sans" w:eastAsia="Open Sans" w:hAnsi="Open Sans" w:cs="Open Sans"/>
        </w:rPr>
        <w:t>, including: description of measures eligible for funding under priority 1, rules for eligibility of expenditure, issues related to the implementation of partnership projects, features of a cross-border project, project selection criteria),</w:t>
      </w:r>
    </w:p>
    <w:p w14:paraId="6B0AEB4A" w14:textId="77777777" w:rsidR="00E10D2C" w:rsidRDefault="00E10D2C" w:rsidP="00E10D2C">
      <w:pPr>
        <w:numPr>
          <w:ilvl w:val="0"/>
          <w:numId w:val="9"/>
        </w:numPr>
        <w:pBdr>
          <w:top w:val="nil"/>
          <w:left w:val="nil"/>
          <w:bottom w:val="nil"/>
          <w:right w:val="nil"/>
          <w:between w:val="nil"/>
        </w:pBdr>
        <w:spacing w:after="0"/>
        <w:ind w:left="851" w:hanging="426"/>
        <w:jc w:val="both"/>
        <w:rPr>
          <w:rFonts w:ascii="Open Sans" w:eastAsia="Open Sans" w:hAnsi="Open Sans" w:cs="Open Sans"/>
          <w:color w:val="000000"/>
        </w:rPr>
      </w:pPr>
      <w:r>
        <w:rPr>
          <w:rFonts w:ascii="Open Sans" w:eastAsia="Open Sans" w:hAnsi="Open Sans" w:cs="Open Sans"/>
          <w:color w:val="000000"/>
          <w:sz w:val="21"/>
          <w:szCs w:val="21"/>
        </w:rPr>
        <w:t xml:space="preserve">has experience in the preparation and/or implementation and/or evaluation of projects financed by European funds, </w:t>
      </w:r>
    </w:p>
    <w:p w14:paraId="1CF161C8" w14:textId="77777777" w:rsidR="00E10D2C" w:rsidRDefault="00E10D2C" w:rsidP="00E10D2C">
      <w:pPr>
        <w:numPr>
          <w:ilvl w:val="0"/>
          <w:numId w:val="9"/>
        </w:numPr>
        <w:pBdr>
          <w:top w:val="nil"/>
          <w:left w:val="nil"/>
          <w:bottom w:val="nil"/>
          <w:right w:val="nil"/>
          <w:between w:val="nil"/>
        </w:pBdr>
        <w:spacing w:after="0"/>
        <w:ind w:left="851" w:hanging="426"/>
        <w:jc w:val="both"/>
        <w:rPr>
          <w:rFonts w:ascii="Open Sans" w:eastAsia="Open Sans" w:hAnsi="Open Sans" w:cs="Open Sans"/>
          <w:color w:val="000000"/>
        </w:rPr>
      </w:pPr>
      <w:r>
        <w:rPr>
          <w:rFonts w:ascii="Open Sans" w:eastAsia="Open Sans" w:hAnsi="Open Sans" w:cs="Open Sans"/>
          <w:color w:val="000000"/>
          <w:sz w:val="21"/>
          <w:szCs w:val="21"/>
        </w:rPr>
        <w:t>has knowledge and experience in the field covered by the SPF,</w:t>
      </w:r>
    </w:p>
    <w:p w14:paraId="7340FEB5" w14:textId="77777777" w:rsidR="00E10D2C" w:rsidRDefault="00E10D2C" w:rsidP="00E10D2C">
      <w:pPr>
        <w:numPr>
          <w:ilvl w:val="0"/>
          <w:numId w:val="9"/>
        </w:numPr>
        <w:pBdr>
          <w:top w:val="nil"/>
          <w:left w:val="nil"/>
          <w:bottom w:val="nil"/>
          <w:right w:val="nil"/>
          <w:between w:val="nil"/>
        </w:pBdr>
        <w:ind w:left="850" w:hanging="425"/>
        <w:jc w:val="both"/>
        <w:rPr>
          <w:rFonts w:ascii="Open Sans" w:eastAsia="Open Sans" w:hAnsi="Open Sans" w:cs="Open Sans"/>
          <w:color w:val="000000"/>
        </w:rPr>
      </w:pPr>
      <w:r>
        <w:rPr>
          <w:rFonts w:ascii="Open Sans" w:eastAsia="Open Sans" w:hAnsi="Open Sans" w:cs="Open Sans"/>
        </w:rPr>
        <w:lastRenderedPageBreak/>
        <w:t>a</w:t>
      </w:r>
      <w:r>
        <w:rPr>
          <w:rFonts w:ascii="Open Sans" w:eastAsia="Open Sans" w:hAnsi="Open Sans" w:cs="Open Sans"/>
          <w:color w:val="000000"/>
          <w:sz w:val="21"/>
          <w:szCs w:val="21"/>
        </w:rPr>
        <w:t>grees to the inclusion of personal data in the list of expert candidates and to the processing of personal data disclosed by the expert candidate in the process of establishing and maintaining the list of expert candidates, as well as for the purposes of participating in the project selection process.</w:t>
      </w:r>
    </w:p>
    <w:p w14:paraId="1F7869C8" w14:textId="77777777" w:rsidR="00E10D2C" w:rsidRDefault="00E10D2C" w:rsidP="00E10D2C">
      <w:pPr>
        <w:numPr>
          <w:ilvl w:val="0"/>
          <w:numId w:val="8"/>
        </w:numPr>
        <w:pBdr>
          <w:top w:val="nil"/>
          <w:left w:val="nil"/>
          <w:bottom w:val="nil"/>
          <w:right w:val="nil"/>
          <w:between w:val="nil"/>
        </w:pBdr>
        <w:spacing w:before="120"/>
        <w:ind w:left="284" w:hanging="284"/>
        <w:jc w:val="both"/>
        <w:rPr>
          <w:rFonts w:ascii="Open Sans" w:eastAsia="Open Sans" w:hAnsi="Open Sans" w:cs="Open Sans"/>
          <w:color w:val="000000"/>
        </w:rPr>
      </w:pPr>
      <w:r>
        <w:rPr>
          <w:rFonts w:ascii="Open Sans" w:eastAsia="Open Sans" w:hAnsi="Open Sans" w:cs="Open Sans"/>
        </w:rPr>
        <w:t>The candidate expert shall submit the required documents proving the fulfilment of the aforementioned conditions by the date and in the manner indicated by the SPF Beneficiary in the announcement.</w:t>
      </w:r>
    </w:p>
    <w:p w14:paraId="697ED33A" w14:textId="77777777" w:rsidR="00E10D2C" w:rsidRDefault="00E10D2C" w:rsidP="00E10D2C">
      <w:pPr>
        <w:numPr>
          <w:ilvl w:val="0"/>
          <w:numId w:val="8"/>
        </w:numPr>
        <w:pBdr>
          <w:top w:val="nil"/>
          <w:left w:val="nil"/>
          <w:bottom w:val="nil"/>
          <w:right w:val="nil"/>
          <w:between w:val="nil"/>
        </w:pBdr>
        <w:spacing w:before="120"/>
        <w:ind w:left="284" w:hanging="284"/>
        <w:jc w:val="both"/>
        <w:rPr>
          <w:rFonts w:ascii="Open Sans" w:eastAsia="Open Sans" w:hAnsi="Open Sans" w:cs="Open Sans"/>
          <w:color w:val="000000"/>
        </w:rPr>
      </w:pPr>
      <w:r>
        <w:rPr>
          <w:rFonts w:ascii="Open Sans" w:eastAsia="Open Sans" w:hAnsi="Open Sans" w:cs="Open Sans"/>
        </w:rPr>
        <w:t>The SPF Beneficiary verifies the documents submitted by the candidates, draws up a list of expert candidates meeting the requirements and submits it to the Small Projects Fund Committee for approval.</w:t>
      </w:r>
    </w:p>
    <w:p w14:paraId="417A5367" w14:textId="77777777" w:rsidR="00E10D2C" w:rsidRDefault="00E10D2C" w:rsidP="00E10D2C">
      <w:pPr>
        <w:numPr>
          <w:ilvl w:val="0"/>
          <w:numId w:val="8"/>
        </w:numPr>
        <w:pBdr>
          <w:top w:val="nil"/>
          <w:left w:val="nil"/>
          <w:bottom w:val="nil"/>
          <w:right w:val="nil"/>
          <w:between w:val="nil"/>
        </w:pBdr>
        <w:spacing w:before="120"/>
        <w:ind w:left="284" w:hanging="284"/>
        <w:jc w:val="both"/>
        <w:rPr>
          <w:rFonts w:ascii="Open Sans" w:eastAsia="Open Sans" w:hAnsi="Open Sans" w:cs="Open Sans"/>
          <w:color w:val="000000"/>
        </w:rPr>
      </w:pPr>
      <w:r>
        <w:rPr>
          <w:rFonts w:ascii="Open Sans" w:eastAsia="Open Sans" w:hAnsi="Open Sans" w:cs="Open Sans"/>
        </w:rPr>
        <w:t>The Small Project Fund Committee appoints experts from among the candidates proposed by the SPF Beneficiary and approves any changes in the list of experts.</w:t>
      </w:r>
    </w:p>
    <w:p w14:paraId="0CDE6F83" w14:textId="77777777" w:rsidR="00E10D2C" w:rsidRDefault="00E10D2C" w:rsidP="00E10D2C">
      <w:pPr>
        <w:numPr>
          <w:ilvl w:val="0"/>
          <w:numId w:val="8"/>
        </w:numPr>
        <w:pBdr>
          <w:top w:val="nil"/>
          <w:left w:val="nil"/>
          <w:bottom w:val="nil"/>
          <w:right w:val="nil"/>
          <w:between w:val="nil"/>
        </w:pBdr>
        <w:spacing w:before="120"/>
        <w:ind w:left="284" w:hanging="284"/>
        <w:jc w:val="both"/>
        <w:rPr>
          <w:rFonts w:ascii="Open Sans" w:eastAsia="Open Sans" w:hAnsi="Open Sans" w:cs="Open Sans"/>
          <w:color w:val="000000"/>
        </w:rPr>
      </w:pPr>
      <w:r>
        <w:rPr>
          <w:rFonts w:ascii="Open Sans" w:eastAsia="Open Sans" w:hAnsi="Open Sans" w:cs="Open Sans"/>
        </w:rPr>
        <w:t>The Small Project Fund Committee shall decide to remove an expert from the list of experts in the event of one or more of the following circumstances:</w:t>
      </w:r>
    </w:p>
    <w:p w14:paraId="4C68A6F1" w14:textId="77777777" w:rsidR="00E10D2C" w:rsidRDefault="00E10D2C" w:rsidP="00E10D2C">
      <w:pPr>
        <w:numPr>
          <w:ilvl w:val="0"/>
          <w:numId w:val="4"/>
        </w:numPr>
        <w:pBdr>
          <w:top w:val="nil"/>
          <w:left w:val="nil"/>
          <w:bottom w:val="nil"/>
          <w:right w:val="nil"/>
          <w:between w:val="nil"/>
        </w:pBdr>
        <w:spacing w:before="120" w:after="0"/>
        <w:ind w:left="641" w:hanging="357"/>
        <w:jc w:val="both"/>
        <w:rPr>
          <w:rFonts w:ascii="Open Sans" w:eastAsia="Open Sans" w:hAnsi="Open Sans" w:cs="Open Sans"/>
          <w:color w:val="000000"/>
        </w:rPr>
      </w:pPr>
      <w:r>
        <w:rPr>
          <w:rFonts w:ascii="Open Sans" w:eastAsia="Open Sans" w:hAnsi="Open Sans" w:cs="Open Sans"/>
        </w:rPr>
        <w:t>a negative evaluation of the work carried out by the expert,</w:t>
      </w:r>
    </w:p>
    <w:p w14:paraId="65D947C9" w14:textId="77777777" w:rsidR="00E10D2C" w:rsidRDefault="00E10D2C" w:rsidP="00E10D2C">
      <w:pPr>
        <w:numPr>
          <w:ilvl w:val="0"/>
          <w:numId w:val="4"/>
        </w:numPr>
        <w:pBdr>
          <w:top w:val="nil"/>
          <w:left w:val="nil"/>
          <w:bottom w:val="nil"/>
          <w:right w:val="nil"/>
          <w:between w:val="nil"/>
        </w:pBdr>
        <w:spacing w:after="0"/>
        <w:ind w:left="641" w:hanging="357"/>
        <w:jc w:val="both"/>
        <w:rPr>
          <w:rFonts w:ascii="Open Sans" w:eastAsia="Open Sans" w:hAnsi="Open Sans" w:cs="Open Sans"/>
          <w:color w:val="000000"/>
        </w:rPr>
      </w:pPr>
      <w:r>
        <w:rPr>
          <w:rFonts w:ascii="Open Sans" w:eastAsia="Open Sans" w:hAnsi="Open Sans" w:cs="Open Sans"/>
        </w:rPr>
        <w:t>the expert ceases to fulfil one of the prerequisites referred to above,</w:t>
      </w:r>
    </w:p>
    <w:p w14:paraId="5BA3DADC" w14:textId="77777777" w:rsidR="00E10D2C" w:rsidRDefault="00E10D2C" w:rsidP="00E10D2C">
      <w:pPr>
        <w:numPr>
          <w:ilvl w:val="0"/>
          <w:numId w:val="4"/>
        </w:numPr>
        <w:pBdr>
          <w:top w:val="nil"/>
          <w:left w:val="nil"/>
          <w:bottom w:val="nil"/>
          <w:right w:val="nil"/>
          <w:between w:val="nil"/>
        </w:pBdr>
        <w:spacing w:after="0"/>
        <w:ind w:left="641" w:hanging="357"/>
        <w:jc w:val="both"/>
        <w:rPr>
          <w:rFonts w:ascii="Open Sans" w:eastAsia="Open Sans" w:hAnsi="Open Sans" w:cs="Open Sans"/>
          <w:color w:val="000000"/>
        </w:rPr>
      </w:pPr>
      <w:r>
        <w:rPr>
          <w:rFonts w:ascii="Open Sans" w:eastAsia="Open Sans" w:hAnsi="Open Sans" w:cs="Open Sans"/>
        </w:rPr>
        <w:t>submission of untruthful documents by the expert,</w:t>
      </w:r>
    </w:p>
    <w:p w14:paraId="381018E4" w14:textId="77777777" w:rsidR="00E10D2C" w:rsidRDefault="00E10D2C" w:rsidP="00E10D2C">
      <w:pPr>
        <w:numPr>
          <w:ilvl w:val="0"/>
          <w:numId w:val="4"/>
        </w:numPr>
        <w:pBdr>
          <w:top w:val="nil"/>
          <w:left w:val="nil"/>
          <w:bottom w:val="nil"/>
          <w:right w:val="nil"/>
          <w:between w:val="nil"/>
        </w:pBdr>
        <w:spacing w:after="0"/>
        <w:ind w:left="641" w:hanging="357"/>
        <w:jc w:val="both"/>
        <w:rPr>
          <w:rFonts w:ascii="Open Sans" w:eastAsia="Open Sans" w:hAnsi="Open Sans" w:cs="Open Sans"/>
          <w:color w:val="000000"/>
        </w:rPr>
      </w:pPr>
      <w:r>
        <w:rPr>
          <w:rFonts w:ascii="Open Sans" w:eastAsia="Open Sans" w:hAnsi="Open Sans" w:cs="Open Sans"/>
        </w:rPr>
        <w:t>a written request by the expert to be removed from the list,</w:t>
      </w:r>
    </w:p>
    <w:p w14:paraId="5C97BD0A" w14:textId="77777777" w:rsidR="00E10D2C" w:rsidRDefault="00E10D2C" w:rsidP="00E10D2C">
      <w:pPr>
        <w:numPr>
          <w:ilvl w:val="0"/>
          <w:numId w:val="4"/>
        </w:numPr>
        <w:pBdr>
          <w:top w:val="nil"/>
          <w:left w:val="nil"/>
          <w:bottom w:val="nil"/>
          <w:right w:val="nil"/>
          <w:between w:val="nil"/>
        </w:pBdr>
        <w:ind w:left="641" w:hanging="357"/>
        <w:jc w:val="both"/>
        <w:rPr>
          <w:rFonts w:ascii="Open Sans" w:eastAsia="Open Sans" w:hAnsi="Open Sans" w:cs="Open Sans"/>
          <w:color w:val="000000"/>
        </w:rPr>
      </w:pPr>
      <w:r>
        <w:rPr>
          <w:rFonts w:ascii="Open Sans" w:eastAsia="Open Sans" w:hAnsi="Open Sans" w:cs="Open Sans"/>
          <w:color w:val="000000"/>
          <w:sz w:val="21"/>
          <w:szCs w:val="21"/>
        </w:rPr>
        <w:t>death of an expert.</w:t>
      </w:r>
    </w:p>
    <w:p w14:paraId="443C1D25" w14:textId="77777777" w:rsidR="00E10D2C" w:rsidRDefault="00E10D2C" w:rsidP="00E10D2C">
      <w:pPr>
        <w:spacing w:before="120"/>
        <w:jc w:val="both"/>
        <w:rPr>
          <w:rFonts w:ascii="Open Sans" w:eastAsia="Open Sans" w:hAnsi="Open Sans" w:cs="Open Sans"/>
          <w:color w:val="7030A0"/>
        </w:rPr>
      </w:pPr>
      <w:r>
        <w:rPr>
          <w:rFonts w:ascii="Open Sans" w:eastAsia="Open Sans" w:hAnsi="Open Sans" w:cs="Open Sans"/>
        </w:rPr>
        <w:t>The SPF Beneficiary shall immediately notify the relevant expert of his/her removal from the list of experts.</w:t>
      </w:r>
      <w:r>
        <w:rPr>
          <w:rFonts w:ascii="Open Sans" w:eastAsia="Open Sans" w:hAnsi="Open Sans" w:cs="Open Sans"/>
          <w:color w:val="000000"/>
        </w:rPr>
        <w:t xml:space="preserve"> </w:t>
      </w:r>
    </w:p>
    <w:p w14:paraId="5136FF97" w14:textId="77777777" w:rsidR="00E10D2C" w:rsidRDefault="00E10D2C" w:rsidP="00E10D2C">
      <w:pPr>
        <w:pBdr>
          <w:top w:val="nil"/>
          <w:left w:val="nil"/>
          <w:bottom w:val="nil"/>
          <w:right w:val="nil"/>
          <w:between w:val="nil"/>
        </w:pBdr>
        <w:spacing w:before="144" w:after="0"/>
        <w:jc w:val="center"/>
        <w:rPr>
          <w:rFonts w:ascii="Open Sans" w:eastAsia="Open Sans" w:hAnsi="Open Sans" w:cs="Open Sans"/>
          <w:b/>
          <w:color w:val="2F5496"/>
        </w:rPr>
      </w:pPr>
    </w:p>
    <w:p w14:paraId="45F813F4" w14:textId="77777777" w:rsidR="00E10D2C" w:rsidRDefault="00E10D2C" w:rsidP="00E10D2C">
      <w:pPr>
        <w:pBdr>
          <w:top w:val="nil"/>
          <w:left w:val="nil"/>
          <w:bottom w:val="nil"/>
          <w:right w:val="nil"/>
          <w:between w:val="nil"/>
        </w:pBdr>
        <w:spacing w:after="0"/>
        <w:jc w:val="center"/>
        <w:rPr>
          <w:rFonts w:ascii="Open Sans" w:eastAsia="Open Sans" w:hAnsi="Open Sans" w:cs="Open Sans"/>
          <w:color w:val="0B5394"/>
        </w:rPr>
      </w:pPr>
      <w:r>
        <w:rPr>
          <w:rFonts w:ascii="Open Sans" w:eastAsia="Open Sans" w:hAnsi="Open Sans" w:cs="Open Sans"/>
          <w:b/>
          <w:color w:val="0B5394"/>
          <w:sz w:val="21"/>
          <w:szCs w:val="21"/>
        </w:rPr>
        <w:t>§ 2</w:t>
      </w:r>
    </w:p>
    <w:p w14:paraId="59225826" w14:textId="77777777" w:rsidR="00E10D2C" w:rsidRDefault="00E10D2C" w:rsidP="00E10D2C">
      <w:pPr>
        <w:pBdr>
          <w:top w:val="nil"/>
          <w:left w:val="nil"/>
          <w:bottom w:val="nil"/>
          <w:right w:val="nil"/>
          <w:between w:val="nil"/>
        </w:pBdr>
        <w:spacing w:after="144"/>
        <w:jc w:val="center"/>
        <w:rPr>
          <w:rFonts w:ascii="Open Sans" w:eastAsia="Open Sans" w:hAnsi="Open Sans" w:cs="Open Sans"/>
          <w:b/>
          <w:color w:val="0B5394"/>
        </w:rPr>
      </w:pPr>
      <w:r>
        <w:rPr>
          <w:rFonts w:ascii="Open Sans" w:eastAsia="Open Sans" w:hAnsi="Open Sans" w:cs="Open Sans"/>
          <w:b/>
          <w:color w:val="0B5394"/>
          <w:sz w:val="21"/>
          <w:szCs w:val="21"/>
        </w:rPr>
        <w:t>Principles of expert work</w:t>
      </w:r>
    </w:p>
    <w:p w14:paraId="159C81D9" w14:textId="77777777" w:rsidR="00E10D2C" w:rsidRDefault="00E10D2C" w:rsidP="00E10D2C">
      <w:pPr>
        <w:numPr>
          <w:ilvl w:val="0"/>
          <w:numId w:val="7"/>
        </w:numPr>
        <w:pBdr>
          <w:top w:val="nil"/>
          <w:left w:val="nil"/>
          <w:bottom w:val="nil"/>
          <w:right w:val="nil"/>
          <w:between w:val="nil"/>
        </w:pBdr>
        <w:spacing w:before="120"/>
        <w:ind w:left="284" w:hanging="284"/>
        <w:jc w:val="both"/>
        <w:rPr>
          <w:rFonts w:ascii="Open Sans" w:eastAsia="Open Sans" w:hAnsi="Open Sans" w:cs="Open Sans"/>
          <w:color w:val="000000"/>
        </w:rPr>
      </w:pPr>
      <w:r>
        <w:rPr>
          <w:rFonts w:ascii="Open Sans" w:eastAsia="Open Sans" w:hAnsi="Open Sans" w:cs="Open Sans"/>
        </w:rPr>
        <w:t>The basic rules for the work of experts evaluating applications for small projects under the Small Project Fund are defined in this document.</w:t>
      </w:r>
    </w:p>
    <w:p w14:paraId="302E25B8" w14:textId="77777777" w:rsidR="00E10D2C" w:rsidRDefault="00E10D2C" w:rsidP="00E10D2C">
      <w:pPr>
        <w:numPr>
          <w:ilvl w:val="0"/>
          <w:numId w:val="7"/>
        </w:numPr>
        <w:pBdr>
          <w:top w:val="nil"/>
          <w:left w:val="nil"/>
          <w:bottom w:val="nil"/>
          <w:right w:val="nil"/>
          <w:between w:val="nil"/>
        </w:pBdr>
        <w:spacing w:before="120"/>
        <w:ind w:left="284" w:hanging="284"/>
        <w:jc w:val="both"/>
        <w:rPr>
          <w:rFonts w:ascii="Open Sans" w:eastAsia="Open Sans" w:hAnsi="Open Sans" w:cs="Open Sans"/>
          <w:color w:val="000000"/>
        </w:rPr>
      </w:pPr>
      <w:r>
        <w:rPr>
          <w:rFonts w:ascii="Open Sans" w:eastAsia="Open Sans" w:hAnsi="Open Sans" w:cs="Open Sans"/>
        </w:rPr>
        <w:t>The SPF Beneficiary is responsible for training the experts in time and to the extent necessary to ensure an efficient evaluation process for small projects.</w:t>
      </w:r>
    </w:p>
    <w:p w14:paraId="7569CD0C" w14:textId="77777777" w:rsidR="00E10D2C" w:rsidRDefault="00E10D2C" w:rsidP="00E10D2C">
      <w:pPr>
        <w:numPr>
          <w:ilvl w:val="0"/>
          <w:numId w:val="7"/>
        </w:numPr>
        <w:pBdr>
          <w:top w:val="nil"/>
          <w:left w:val="nil"/>
          <w:bottom w:val="nil"/>
          <w:right w:val="nil"/>
          <w:between w:val="nil"/>
        </w:pBdr>
        <w:spacing w:before="120"/>
        <w:ind w:left="284" w:hanging="284"/>
        <w:jc w:val="both"/>
        <w:rPr>
          <w:rFonts w:ascii="Open Sans" w:eastAsia="Open Sans" w:hAnsi="Open Sans" w:cs="Open Sans"/>
          <w:color w:val="000000"/>
        </w:rPr>
      </w:pPr>
      <w:r>
        <w:rPr>
          <w:rFonts w:ascii="Open Sans" w:eastAsia="Open Sans" w:hAnsi="Open Sans" w:cs="Open Sans"/>
        </w:rPr>
        <w:t>The SPF Beneficiary monitors the quality of the work performed by the expert.</w:t>
      </w:r>
    </w:p>
    <w:p w14:paraId="76EC30F4" w14:textId="77777777" w:rsidR="00E10D2C" w:rsidRDefault="00E10D2C" w:rsidP="00E10D2C">
      <w:pPr>
        <w:numPr>
          <w:ilvl w:val="0"/>
          <w:numId w:val="7"/>
        </w:numPr>
        <w:pBdr>
          <w:top w:val="nil"/>
          <w:left w:val="nil"/>
          <w:bottom w:val="nil"/>
          <w:right w:val="nil"/>
          <w:between w:val="nil"/>
        </w:pBdr>
        <w:spacing w:before="120"/>
        <w:ind w:left="284" w:hanging="284"/>
        <w:jc w:val="both"/>
        <w:rPr>
          <w:rFonts w:ascii="Open Sans" w:eastAsia="Open Sans" w:hAnsi="Open Sans" w:cs="Open Sans"/>
          <w:color w:val="000000"/>
        </w:rPr>
      </w:pPr>
      <w:r>
        <w:rPr>
          <w:rFonts w:ascii="Open Sans" w:eastAsia="Open Sans" w:hAnsi="Open Sans" w:cs="Open Sans"/>
        </w:rPr>
        <w:t>The detailed terms and conditions of the expert's work will be set out in a contract concluded between the expert and the SPF Beneficiary.</w:t>
      </w:r>
    </w:p>
    <w:p w14:paraId="5E1EFA8C" w14:textId="77777777" w:rsidR="00E10D2C" w:rsidRDefault="00E10D2C" w:rsidP="00E10D2C">
      <w:pPr>
        <w:spacing w:before="60" w:after="60"/>
        <w:jc w:val="both"/>
        <w:rPr>
          <w:rFonts w:ascii="Open Sans" w:eastAsia="Open Sans" w:hAnsi="Open Sans" w:cs="Open Sans"/>
        </w:rPr>
      </w:pPr>
    </w:p>
    <w:p w14:paraId="657EBB14" w14:textId="77777777" w:rsidR="00E10D2C" w:rsidRDefault="00E10D2C" w:rsidP="00E10D2C">
      <w:pPr>
        <w:pBdr>
          <w:top w:val="nil"/>
          <w:left w:val="nil"/>
          <w:bottom w:val="nil"/>
          <w:right w:val="nil"/>
          <w:between w:val="nil"/>
        </w:pBdr>
        <w:spacing w:before="120" w:after="23"/>
        <w:jc w:val="center"/>
        <w:rPr>
          <w:rFonts w:ascii="Open Sans" w:eastAsia="Open Sans" w:hAnsi="Open Sans" w:cs="Open Sans"/>
          <w:color w:val="0B5394"/>
        </w:rPr>
      </w:pPr>
      <w:r>
        <w:rPr>
          <w:rFonts w:ascii="Open Sans" w:eastAsia="Open Sans" w:hAnsi="Open Sans" w:cs="Open Sans"/>
          <w:b/>
          <w:color w:val="0B5394"/>
          <w:sz w:val="21"/>
          <w:szCs w:val="21"/>
        </w:rPr>
        <w:t>§ 3</w:t>
      </w:r>
    </w:p>
    <w:p w14:paraId="49DBCF86" w14:textId="77777777" w:rsidR="00E10D2C" w:rsidRDefault="00E10D2C" w:rsidP="00E10D2C">
      <w:pPr>
        <w:pBdr>
          <w:top w:val="nil"/>
          <w:left w:val="nil"/>
          <w:bottom w:val="nil"/>
          <w:right w:val="nil"/>
          <w:between w:val="nil"/>
        </w:pBdr>
        <w:spacing w:before="23" w:after="144"/>
        <w:jc w:val="center"/>
        <w:rPr>
          <w:rFonts w:ascii="Open Sans" w:eastAsia="Open Sans" w:hAnsi="Open Sans" w:cs="Open Sans"/>
          <w:b/>
          <w:color w:val="0B5394"/>
        </w:rPr>
      </w:pPr>
      <w:r>
        <w:rPr>
          <w:rFonts w:ascii="Open Sans" w:eastAsia="Open Sans" w:hAnsi="Open Sans" w:cs="Open Sans"/>
          <w:b/>
          <w:color w:val="0B5394"/>
          <w:sz w:val="21"/>
          <w:szCs w:val="21"/>
        </w:rPr>
        <w:lastRenderedPageBreak/>
        <w:t>Quality assessment process</w:t>
      </w:r>
    </w:p>
    <w:p w14:paraId="10B518AE" w14:textId="77777777" w:rsidR="00E10D2C" w:rsidRDefault="00E10D2C" w:rsidP="00E10D2C">
      <w:pPr>
        <w:numPr>
          <w:ilvl w:val="0"/>
          <w:numId w:val="10"/>
        </w:numPr>
        <w:pBdr>
          <w:top w:val="nil"/>
          <w:left w:val="nil"/>
          <w:bottom w:val="nil"/>
          <w:right w:val="nil"/>
          <w:between w:val="nil"/>
        </w:pBdr>
        <w:spacing w:before="120"/>
        <w:ind w:left="284" w:hanging="284"/>
        <w:jc w:val="both"/>
        <w:rPr>
          <w:rFonts w:ascii="Open Sans" w:eastAsia="Open Sans" w:hAnsi="Open Sans" w:cs="Open Sans"/>
        </w:rPr>
      </w:pPr>
      <w:r>
        <w:rPr>
          <w:rFonts w:ascii="Open Sans" w:eastAsia="Open Sans" w:hAnsi="Open Sans" w:cs="Open Sans"/>
        </w:rPr>
        <w:t>The qualitative assessment is carried out by independent experts from the Polish-Ukrainian Team of experts, appointed by the Small Project Fund Committee. Each project is assessed independently by two experts (1 PL and 1 UA).</w:t>
      </w:r>
    </w:p>
    <w:p w14:paraId="0E808C41" w14:textId="77777777" w:rsidR="00E10D2C" w:rsidRDefault="00E10D2C" w:rsidP="00E10D2C">
      <w:pPr>
        <w:numPr>
          <w:ilvl w:val="0"/>
          <w:numId w:val="10"/>
        </w:numPr>
        <w:pBdr>
          <w:top w:val="nil"/>
          <w:left w:val="nil"/>
          <w:bottom w:val="nil"/>
          <w:right w:val="nil"/>
          <w:between w:val="nil"/>
        </w:pBdr>
        <w:spacing w:before="120"/>
        <w:ind w:left="284" w:hanging="284"/>
        <w:jc w:val="both"/>
        <w:rPr>
          <w:rFonts w:ascii="Open Sans" w:eastAsia="Open Sans" w:hAnsi="Open Sans" w:cs="Open Sans"/>
        </w:rPr>
      </w:pPr>
      <w:bookmarkStart w:id="0" w:name="_heading=h.l9hbqjt2sguv" w:colFirst="0" w:colLast="0"/>
      <w:bookmarkEnd w:id="0"/>
      <w:r>
        <w:rPr>
          <w:rFonts w:ascii="Open Sans" w:eastAsia="Open Sans" w:hAnsi="Open Sans" w:cs="Open Sans"/>
        </w:rPr>
        <w:t>The SPF Beneficiary appoints the Chairman of the Team of experts, who is fully responsible for the formal and procedural correctness of the qualitative assessment of small projects. The Chairperson does not evaluate small projects, his/her task is:</w:t>
      </w:r>
    </w:p>
    <w:p w14:paraId="74914033" w14:textId="77777777" w:rsidR="00E10D2C" w:rsidRDefault="00E10D2C" w:rsidP="00E10D2C">
      <w:pPr>
        <w:numPr>
          <w:ilvl w:val="0"/>
          <w:numId w:val="11"/>
        </w:numPr>
        <w:pBdr>
          <w:top w:val="nil"/>
          <w:left w:val="nil"/>
          <w:bottom w:val="nil"/>
          <w:right w:val="nil"/>
          <w:between w:val="nil"/>
        </w:pBdr>
        <w:spacing w:before="60" w:after="0"/>
        <w:ind w:left="568" w:hanging="284"/>
        <w:jc w:val="both"/>
        <w:rPr>
          <w:rFonts w:ascii="Open Sans" w:eastAsia="Open Sans" w:hAnsi="Open Sans" w:cs="Open Sans"/>
          <w:color w:val="000000"/>
        </w:rPr>
      </w:pPr>
      <w:r>
        <w:rPr>
          <w:rFonts w:ascii="Open Sans" w:eastAsia="Open Sans" w:hAnsi="Open Sans" w:cs="Open Sans"/>
        </w:rPr>
        <w:t>preparation of assessment documents</w:t>
      </w:r>
      <w:r>
        <w:rPr>
          <w:rFonts w:ascii="Open Sans" w:eastAsia="Open Sans" w:hAnsi="Open Sans" w:cs="Open Sans"/>
          <w:color w:val="000000"/>
          <w:sz w:val="21"/>
          <w:szCs w:val="21"/>
        </w:rPr>
        <w:t>:</w:t>
      </w:r>
    </w:p>
    <w:p w14:paraId="0358D347" w14:textId="77777777" w:rsidR="00E10D2C" w:rsidRDefault="00E10D2C" w:rsidP="00E10D2C">
      <w:pPr>
        <w:numPr>
          <w:ilvl w:val="0"/>
          <w:numId w:val="12"/>
        </w:numPr>
        <w:pBdr>
          <w:top w:val="nil"/>
          <w:left w:val="nil"/>
          <w:bottom w:val="nil"/>
          <w:right w:val="nil"/>
          <w:between w:val="nil"/>
        </w:pBdr>
        <w:spacing w:after="0"/>
        <w:ind w:left="1135" w:hanging="567"/>
        <w:jc w:val="both"/>
        <w:rPr>
          <w:rFonts w:ascii="Open Sans" w:eastAsia="Open Sans" w:hAnsi="Open Sans" w:cs="Open Sans"/>
          <w:color w:val="000000"/>
        </w:rPr>
      </w:pPr>
      <w:r>
        <w:rPr>
          <w:rFonts w:ascii="Open Sans" w:eastAsia="Open Sans" w:hAnsi="Open Sans" w:cs="Open Sans"/>
        </w:rPr>
        <w:t>declarations of confidentiality and impartiality for experts</w:t>
      </w:r>
      <w:r>
        <w:rPr>
          <w:rFonts w:ascii="Open Sans" w:eastAsia="Open Sans" w:hAnsi="Open Sans" w:cs="Open Sans"/>
          <w:color w:val="000000"/>
          <w:sz w:val="21"/>
          <w:szCs w:val="21"/>
        </w:rPr>
        <w:t>,</w:t>
      </w:r>
    </w:p>
    <w:p w14:paraId="01ADE9E4" w14:textId="77777777" w:rsidR="00E10D2C" w:rsidRDefault="00E10D2C" w:rsidP="00E10D2C">
      <w:pPr>
        <w:numPr>
          <w:ilvl w:val="0"/>
          <w:numId w:val="12"/>
        </w:numPr>
        <w:pBdr>
          <w:top w:val="nil"/>
          <w:left w:val="nil"/>
          <w:bottom w:val="nil"/>
          <w:right w:val="nil"/>
          <w:between w:val="nil"/>
        </w:pBdr>
        <w:spacing w:after="0"/>
        <w:ind w:left="1135" w:hanging="567"/>
        <w:jc w:val="both"/>
        <w:rPr>
          <w:rFonts w:ascii="Open Sans" w:eastAsia="Open Sans" w:hAnsi="Open Sans" w:cs="Open Sans"/>
          <w:color w:val="000000"/>
        </w:rPr>
      </w:pPr>
      <w:r>
        <w:rPr>
          <w:rFonts w:ascii="Open Sans" w:eastAsia="Open Sans" w:hAnsi="Open Sans" w:cs="Open Sans"/>
        </w:rPr>
        <w:t>evaluation attendance lists,</w:t>
      </w:r>
    </w:p>
    <w:p w14:paraId="07F291EB" w14:textId="77777777" w:rsidR="00E10D2C" w:rsidRDefault="00E10D2C" w:rsidP="00E10D2C">
      <w:pPr>
        <w:numPr>
          <w:ilvl w:val="0"/>
          <w:numId w:val="12"/>
        </w:numPr>
        <w:pBdr>
          <w:top w:val="nil"/>
          <w:left w:val="nil"/>
          <w:bottom w:val="nil"/>
          <w:right w:val="nil"/>
          <w:between w:val="nil"/>
        </w:pBdr>
        <w:spacing w:after="0"/>
        <w:ind w:left="1135" w:hanging="567"/>
        <w:jc w:val="both"/>
        <w:rPr>
          <w:rFonts w:ascii="Open Sans" w:eastAsia="Open Sans" w:hAnsi="Open Sans" w:cs="Open Sans"/>
          <w:color w:val="000000"/>
        </w:rPr>
      </w:pPr>
      <w:r>
        <w:rPr>
          <w:rFonts w:ascii="Open Sans" w:eastAsia="Open Sans" w:hAnsi="Open Sans" w:cs="Open Sans"/>
        </w:rPr>
        <w:t>assessment sheets,</w:t>
      </w:r>
    </w:p>
    <w:p w14:paraId="7FD49FCA" w14:textId="77777777" w:rsidR="00E10D2C" w:rsidRDefault="00E10D2C" w:rsidP="00E10D2C">
      <w:pPr>
        <w:numPr>
          <w:ilvl w:val="0"/>
          <w:numId w:val="12"/>
        </w:numPr>
        <w:pBdr>
          <w:top w:val="nil"/>
          <w:left w:val="nil"/>
          <w:bottom w:val="nil"/>
          <w:right w:val="nil"/>
          <w:between w:val="nil"/>
        </w:pBdr>
        <w:spacing w:after="0"/>
        <w:ind w:left="1135" w:hanging="567"/>
        <w:jc w:val="both"/>
        <w:rPr>
          <w:rFonts w:ascii="Open Sans" w:eastAsia="Open Sans" w:hAnsi="Open Sans" w:cs="Open Sans"/>
          <w:color w:val="000000"/>
        </w:rPr>
      </w:pPr>
      <w:r>
        <w:rPr>
          <w:rFonts w:ascii="Open Sans" w:eastAsia="Open Sans" w:hAnsi="Open Sans" w:cs="Open Sans"/>
        </w:rPr>
        <w:t>assessment summaries,</w:t>
      </w:r>
    </w:p>
    <w:p w14:paraId="1B02FACB" w14:textId="77777777" w:rsidR="00E10D2C" w:rsidRDefault="00E10D2C" w:rsidP="00E10D2C">
      <w:pPr>
        <w:numPr>
          <w:ilvl w:val="0"/>
          <w:numId w:val="12"/>
        </w:numPr>
        <w:pBdr>
          <w:top w:val="nil"/>
          <w:left w:val="nil"/>
          <w:bottom w:val="nil"/>
          <w:right w:val="nil"/>
          <w:between w:val="nil"/>
        </w:pBdr>
        <w:spacing w:after="0"/>
        <w:ind w:left="1135" w:hanging="567"/>
        <w:jc w:val="both"/>
        <w:rPr>
          <w:rFonts w:ascii="Open Sans" w:eastAsia="Open Sans" w:hAnsi="Open Sans" w:cs="Open Sans"/>
          <w:color w:val="000000"/>
        </w:rPr>
      </w:pPr>
      <w:r>
        <w:rPr>
          <w:rFonts w:ascii="Open Sans" w:eastAsia="Open Sans" w:hAnsi="Open Sans" w:cs="Open Sans"/>
        </w:rPr>
        <w:t>assessment protocol.</w:t>
      </w:r>
    </w:p>
    <w:p w14:paraId="5C5BF006" w14:textId="77777777" w:rsidR="00E10D2C" w:rsidRDefault="00E10D2C" w:rsidP="00E10D2C">
      <w:pPr>
        <w:numPr>
          <w:ilvl w:val="0"/>
          <w:numId w:val="11"/>
        </w:numPr>
        <w:pBdr>
          <w:top w:val="nil"/>
          <w:left w:val="nil"/>
          <w:bottom w:val="nil"/>
          <w:right w:val="nil"/>
          <w:between w:val="nil"/>
        </w:pBdr>
        <w:spacing w:after="0"/>
        <w:ind w:left="568" w:hanging="284"/>
        <w:jc w:val="both"/>
        <w:rPr>
          <w:rFonts w:ascii="Open Sans" w:eastAsia="Open Sans" w:hAnsi="Open Sans" w:cs="Open Sans"/>
          <w:color w:val="000000"/>
        </w:rPr>
      </w:pPr>
      <w:r>
        <w:rPr>
          <w:rFonts w:ascii="Open Sans" w:eastAsia="Open Sans" w:hAnsi="Open Sans" w:cs="Open Sans"/>
        </w:rPr>
        <w:t>Assignment to experts of projects to be evaluated by drawing lots.</w:t>
      </w:r>
    </w:p>
    <w:p w14:paraId="4E13EB73" w14:textId="77777777" w:rsidR="00E10D2C" w:rsidRDefault="00E10D2C" w:rsidP="00E10D2C">
      <w:pPr>
        <w:numPr>
          <w:ilvl w:val="0"/>
          <w:numId w:val="11"/>
        </w:numPr>
        <w:pBdr>
          <w:top w:val="nil"/>
          <w:left w:val="nil"/>
          <w:bottom w:val="nil"/>
          <w:right w:val="nil"/>
          <w:between w:val="nil"/>
        </w:pBdr>
        <w:spacing w:after="0"/>
        <w:ind w:left="568" w:hanging="284"/>
        <w:jc w:val="both"/>
        <w:rPr>
          <w:rFonts w:ascii="Open Sans" w:eastAsia="Open Sans" w:hAnsi="Open Sans" w:cs="Open Sans"/>
          <w:color w:val="000000"/>
        </w:rPr>
      </w:pPr>
      <w:r>
        <w:rPr>
          <w:rFonts w:ascii="Open Sans" w:eastAsia="Open Sans" w:hAnsi="Open Sans" w:cs="Open Sans"/>
        </w:rPr>
        <w:t>Overseeing the work Team of Experts on:</w:t>
      </w:r>
    </w:p>
    <w:p w14:paraId="6D3C6960" w14:textId="77777777" w:rsidR="00E10D2C" w:rsidRDefault="00E10D2C" w:rsidP="00E10D2C">
      <w:pPr>
        <w:numPr>
          <w:ilvl w:val="0"/>
          <w:numId w:val="13"/>
        </w:numPr>
        <w:pBdr>
          <w:top w:val="nil"/>
          <w:left w:val="nil"/>
          <w:bottom w:val="nil"/>
          <w:right w:val="nil"/>
          <w:between w:val="nil"/>
        </w:pBdr>
        <w:spacing w:after="0"/>
        <w:ind w:left="1135" w:hanging="567"/>
        <w:jc w:val="both"/>
        <w:rPr>
          <w:rFonts w:ascii="Open Sans" w:eastAsia="Open Sans" w:hAnsi="Open Sans" w:cs="Open Sans"/>
          <w:color w:val="000000"/>
        </w:rPr>
      </w:pPr>
      <w:r>
        <w:rPr>
          <w:rFonts w:ascii="Open Sans" w:eastAsia="Open Sans" w:hAnsi="Open Sans" w:cs="Open Sans"/>
        </w:rPr>
        <w:t>compliance with the established procedures and criteria for assessing applications</w:t>
      </w:r>
      <w:r>
        <w:rPr>
          <w:rFonts w:ascii="Open Sans" w:eastAsia="Open Sans" w:hAnsi="Open Sans" w:cs="Open Sans"/>
          <w:color w:val="000000"/>
          <w:sz w:val="21"/>
          <w:szCs w:val="21"/>
        </w:rPr>
        <w:t>,</w:t>
      </w:r>
    </w:p>
    <w:p w14:paraId="41A37678" w14:textId="77777777" w:rsidR="00E10D2C" w:rsidRDefault="00E10D2C" w:rsidP="00E10D2C">
      <w:pPr>
        <w:numPr>
          <w:ilvl w:val="0"/>
          <w:numId w:val="13"/>
        </w:numPr>
        <w:pBdr>
          <w:top w:val="nil"/>
          <w:left w:val="nil"/>
          <w:bottom w:val="nil"/>
          <w:right w:val="nil"/>
          <w:between w:val="nil"/>
        </w:pBdr>
        <w:spacing w:after="0"/>
        <w:ind w:left="1135" w:hanging="567"/>
        <w:jc w:val="both"/>
        <w:rPr>
          <w:rFonts w:ascii="Open Sans" w:eastAsia="Open Sans" w:hAnsi="Open Sans" w:cs="Open Sans"/>
          <w:color w:val="000000"/>
        </w:rPr>
      </w:pPr>
      <w:r>
        <w:rPr>
          <w:rFonts w:ascii="Open Sans" w:eastAsia="Open Sans" w:hAnsi="Open Sans" w:cs="Open Sans"/>
        </w:rPr>
        <w:t>ensure that any recommendations for the project are unambiguous and consistent,</w:t>
      </w:r>
    </w:p>
    <w:p w14:paraId="3704B754" w14:textId="77777777" w:rsidR="00E10D2C" w:rsidRDefault="00E10D2C" w:rsidP="00E10D2C">
      <w:pPr>
        <w:numPr>
          <w:ilvl w:val="0"/>
          <w:numId w:val="13"/>
        </w:numPr>
        <w:pBdr>
          <w:top w:val="nil"/>
          <w:left w:val="nil"/>
          <w:bottom w:val="nil"/>
          <w:right w:val="nil"/>
          <w:between w:val="nil"/>
        </w:pBdr>
        <w:spacing w:after="0"/>
        <w:ind w:left="1135" w:hanging="567"/>
        <w:jc w:val="both"/>
        <w:rPr>
          <w:rFonts w:ascii="Open Sans" w:eastAsia="Open Sans" w:hAnsi="Open Sans" w:cs="Open Sans"/>
          <w:color w:val="000000"/>
        </w:rPr>
      </w:pPr>
      <w:r>
        <w:rPr>
          <w:rFonts w:ascii="Open Sans" w:eastAsia="Open Sans" w:hAnsi="Open Sans" w:cs="Open Sans"/>
        </w:rPr>
        <w:t>ensure the impartiality and transparency of the work of the Team of experts.</w:t>
      </w:r>
      <w:r>
        <w:rPr>
          <w:rFonts w:ascii="Open Sans" w:eastAsia="Open Sans" w:hAnsi="Open Sans" w:cs="Open Sans"/>
          <w:color w:val="000000"/>
          <w:sz w:val="21"/>
          <w:szCs w:val="21"/>
        </w:rPr>
        <w:t xml:space="preserve">. </w:t>
      </w:r>
    </w:p>
    <w:p w14:paraId="4AF9F445" w14:textId="77777777" w:rsidR="00E10D2C" w:rsidRDefault="00E10D2C" w:rsidP="00E10D2C">
      <w:pPr>
        <w:numPr>
          <w:ilvl w:val="0"/>
          <w:numId w:val="10"/>
        </w:numPr>
        <w:pBdr>
          <w:top w:val="nil"/>
          <w:left w:val="nil"/>
          <w:bottom w:val="nil"/>
          <w:right w:val="nil"/>
          <w:between w:val="nil"/>
        </w:pBdr>
        <w:spacing w:before="60"/>
        <w:ind w:left="284" w:hanging="284"/>
        <w:jc w:val="both"/>
        <w:rPr>
          <w:rFonts w:ascii="Open Sans" w:eastAsia="Open Sans" w:hAnsi="Open Sans" w:cs="Open Sans"/>
        </w:rPr>
      </w:pPr>
      <w:r>
        <w:rPr>
          <w:rFonts w:ascii="Open Sans" w:eastAsia="Open Sans" w:hAnsi="Open Sans" w:cs="Open Sans"/>
        </w:rPr>
        <w:t>Proposals are allocated to individual experts by means of a draw, which takes place before the evaluation. The draw is carried out by the Chairman of the Team of experts.</w:t>
      </w:r>
    </w:p>
    <w:p w14:paraId="721CE457" w14:textId="77777777" w:rsidR="00E10D2C" w:rsidRDefault="00E10D2C" w:rsidP="00E10D2C">
      <w:pPr>
        <w:pBdr>
          <w:top w:val="nil"/>
          <w:left w:val="nil"/>
          <w:bottom w:val="nil"/>
          <w:right w:val="nil"/>
          <w:between w:val="nil"/>
        </w:pBdr>
        <w:spacing w:before="60"/>
        <w:ind w:left="283"/>
        <w:jc w:val="both"/>
        <w:rPr>
          <w:rFonts w:ascii="Open Sans" w:eastAsia="Open Sans" w:hAnsi="Open Sans" w:cs="Open Sans"/>
        </w:rPr>
      </w:pPr>
      <w:r>
        <w:rPr>
          <w:rFonts w:ascii="Open Sans" w:eastAsia="Open Sans" w:hAnsi="Open Sans" w:cs="Open Sans"/>
        </w:rPr>
        <w:t>Before starting the draw, experts evaluating applications in a given call for proposals receive a list of projects subject to qualitative assessment containing: name and address of the applicant, partners, title of the project, name and surname of the person representing the applicant/partner and the contact person. After the analysis of the list of submitted applications, in case of a conflict of interest, the experts report this fact to the Chairman of the Team of Experts. If in the pool of proposals submitted to a given expert, there is a project with regard to which the expert reported a conflict of interest, this project is allocated by drawing lots to the next expert.</w:t>
      </w:r>
    </w:p>
    <w:p w14:paraId="5970BF50" w14:textId="77777777" w:rsidR="00E10D2C" w:rsidRDefault="00E10D2C" w:rsidP="00E10D2C">
      <w:pPr>
        <w:numPr>
          <w:ilvl w:val="0"/>
          <w:numId w:val="10"/>
        </w:numPr>
        <w:pBdr>
          <w:top w:val="nil"/>
          <w:left w:val="nil"/>
          <w:bottom w:val="nil"/>
          <w:right w:val="nil"/>
          <w:between w:val="nil"/>
        </w:pBdr>
        <w:spacing w:before="120"/>
        <w:ind w:left="284" w:hanging="284"/>
        <w:jc w:val="both"/>
        <w:rPr>
          <w:rFonts w:ascii="Open Sans" w:eastAsia="Open Sans" w:hAnsi="Open Sans" w:cs="Open Sans"/>
        </w:rPr>
      </w:pPr>
      <w:r>
        <w:rPr>
          <w:rFonts w:ascii="Open Sans" w:eastAsia="Open Sans" w:hAnsi="Open Sans" w:cs="Open Sans"/>
        </w:rPr>
        <w:t>The grant applications and their annexes are forwarded to the experts by the SPF Beneficiary in electronic form.</w:t>
      </w:r>
    </w:p>
    <w:p w14:paraId="55683481" w14:textId="77777777" w:rsidR="00E10D2C" w:rsidRDefault="00E10D2C" w:rsidP="00E10D2C">
      <w:pPr>
        <w:numPr>
          <w:ilvl w:val="0"/>
          <w:numId w:val="10"/>
        </w:numPr>
        <w:pBdr>
          <w:top w:val="nil"/>
          <w:left w:val="nil"/>
          <w:bottom w:val="nil"/>
          <w:right w:val="nil"/>
          <w:between w:val="nil"/>
        </w:pBdr>
        <w:spacing w:before="120"/>
        <w:ind w:left="284" w:hanging="284"/>
        <w:jc w:val="both"/>
        <w:rPr>
          <w:rFonts w:ascii="Open Sans" w:eastAsia="Open Sans" w:hAnsi="Open Sans" w:cs="Open Sans"/>
        </w:rPr>
      </w:pPr>
      <w:r>
        <w:rPr>
          <w:rFonts w:ascii="Open Sans" w:eastAsia="Open Sans" w:hAnsi="Open Sans" w:cs="Open Sans"/>
        </w:rPr>
        <w:t xml:space="preserve">Before starting the evaluation of the projects, each expert and the chairperson shall sign a </w:t>
      </w:r>
      <w:r>
        <w:rPr>
          <w:rFonts w:ascii="Open Sans" w:eastAsia="Open Sans" w:hAnsi="Open Sans" w:cs="Open Sans"/>
          <w:i/>
        </w:rPr>
        <w:t>Declaration of impartiality and confidentiality.</w:t>
      </w:r>
    </w:p>
    <w:p w14:paraId="19B32DE7" w14:textId="77777777" w:rsidR="00E10D2C" w:rsidRDefault="00E10D2C" w:rsidP="00E10D2C">
      <w:pPr>
        <w:numPr>
          <w:ilvl w:val="0"/>
          <w:numId w:val="10"/>
        </w:numPr>
        <w:pBdr>
          <w:top w:val="nil"/>
          <w:left w:val="nil"/>
          <w:bottom w:val="nil"/>
          <w:right w:val="nil"/>
          <w:between w:val="nil"/>
        </w:pBdr>
        <w:spacing w:before="120"/>
        <w:ind w:left="284" w:hanging="284"/>
        <w:jc w:val="both"/>
        <w:rPr>
          <w:rFonts w:ascii="Open Sans" w:eastAsia="Open Sans" w:hAnsi="Open Sans" w:cs="Open Sans"/>
        </w:rPr>
      </w:pPr>
      <w:r>
        <w:rPr>
          <w:rFonts w:ascii="Open Sans" w:eastAsia="Open Sans" w:hAnsi="Open Sans" w:cs="Open Sans"/>
        </w:rPr>
        <w:t xml:space="preserve">On receipt of a proposal, the expert makes an independent assessment by completing a quality assessment sheet in accordance with the approved assessment criteria. The </w:t>
      </w:r>
      <w:r>
        <w:rPr>
          <w:rFonts w:ascii="Open Sans" w:eastAsia="Open Sans" w:hAnsi="Open Sans" w:cs="Open Sans"/>
        </w:rPr>
        <w:lastRenderedPageBreak/>
        <w:t>assessment shall include the number of points awarded and a justification for each criterion, as well as, where necessary, recommendations for the revision of the application. The expert is also required to summarise the overall assessment of the small project.</w:t>
      </w:r>
    </w:p>
    <w:p w14:paraId="09F4C61F" w14:textId="77777777" w:rsidR="00E10D2C" w:rsidRDefault="00E10D2C" w:rsidP="00E10D2C">
      <w:pPr>
        <w:numPr>
          <w:ilvl w:val="0"/>
          <w:numId w:val="10"/>
        </w:numPr>
        <w:pBdr>
          <w:top w:val="nil"/>
          <w:left w:val="nil"/>
          <w:bottom w:val="nil"/>
          <w:right w:val="nil"/>
          <w:between w:val="nil"/>
        </w:pBdr>
        <w:spacing w:before="120"/>
        <w:ind w:left="284" w:hanging="284"/>
        <w:jc w:val="both"/>
        <w:rPr>
          <w:rFonts w:ascii="Open Sans" w:eastAsia="Open Sans" w:hAnsi="Open Sans" w:cs="Open Sans"/>
        </w:rPr>
      </w:pPr>
      <w:r>
        <w:rPr>
          <w:rFonts w:ascii="Open Sans" w:eastAsia="Open Sans" w:hAnsi="Open Sans" w:cs="Open Sans"/>
        </w:rPr>
        <w:t>The completed project assessment sheets are forwarded to the SPF Beneficiary in both electronic and paper form, who archives them.</w:t>
      </w:r>
    </w:p>
    <w:p w14:paraId="0E614684" w14:textId="77777777" w:rsidR="00E10D2C" w:rsidRDefault="00E10D2C" w:rsidP="00E10D2C">
      <w:pPr>
        <w:numPr>
          <w:ilvl w:val="0"/>
          <w:numId w:val="10"/>
        </w:numPr>
        <w:pBdr>
          <w:top w:val="nil"/>
          <w:left w:val="nil"/>
          <w:bottom w:val="nil"/>
          <w:right w:val="nil"/>
          <w:between w:val="nil"/>
        </w:pBdr>
        <w:spacing w:before="120"/>
        <w:ind w:left="284" w:hanging="284"/>
        <w:jc w:val="both"/>
        <w:rPr>
          <w:rFonts w:ascii="Open Sans" w:eastAsia="Open Sans" w:hAnsi="Open Sans" w:cs="Open Sans"/>
        </w:rPr>
      </w:pPr>
      <w:r>
        <w:rPr>
          <w:rFonts w:ascii="Open Sans" w:eastAsia="Open Sans" w:hAnsi="Open Sans" w:cs="Open Sans"/>
        </w:rPr>
        <w:t xml:space="preserve">The Chairperson shall review the evaluation results provided by the experts in order to examine whether the assessment made by the expert is in accordance with </w:t>
      </w:r>
      <w:r>
        <w:rPr>
          <w:rFonts w:ascii="Open Sans" w:eastAsia="Open Sans" w:hAnsi="Open Sans" w:cs="Open Sans"/>
          <w:i/>
        </w:rPr>
        <w:t>the Manual for small projects and these Regulations</w:t>
      </w:r>
      <w:r>
        <w:rPr>
          <w:rFonts w:ascii="Open Sans" w:eastAsia="Open Sans" w:hAnsi="Open Sans" w:cs="Open Sans"/>
        </w:rPr>
        <w:t>.</w:t>
      </w:r>
    </w:p>
    <w:p w14:paraId="44DAF2B8" w14:textId="77777777" w:rsidR="00E10D2C" w:rsidRDefault="00E10D2C" w:rsidP="00E10D2C">
      <w:pPr>
        <w:numPr>
          <w:ilvl w:val="0"/>
          <w:numId w:val="10"/>
        </w:numPr>
        <w:pBdr>
          <w:top w:val="nil"/>
          <w:left w:val="nil"/>
          <w:bottom w:val="nil"/>
          <w:right w:val="nil"/>
          <w:between w:val="nil"/>
        </w:pBdr>
        <w:spacing w:before="120"/>
        <w:ind w:left="284" w:hanging="284"/>
        <w:jc w:val="both"/>
        <w:rPr>
          <w:rFonts w:ascii="Open Sans" w:eastAsia="Open Sans" w:hAnsi="Open Sans" w:cs="Open Sans"/>
        </w:rPr>
      </w:pPr>
      <w:r>
        <w:rPr>
          <w:rFonts w:ascii="Open Sans" w:eastAsia="Open Sans" w:hAnsi="Open Sans" w:cs="Open Sans"/>
        </w:rPr>
        <w:t>If the difference in the experts' assessment is greater than 15 points, a joint assessment is agreed during the discussion at the panel of experts. If it is not possible to agree on a common position, the SPF Beneficiary appoints an additional expert, who carries out his/her assessment of the project independently of the previous assessment. Also in case the project receives one negative and one positive assessment result, a third expert is also appointed. In the described situations, the final project assessment is the arithmetic mean of the assessments of all three experts.</w:t>
      </w:r>
    </w:p>
    <w:p w14:paraId="1E9E6299" w14:textId="77777777" w:rsidR="00E10D2C" w:rsidRDefault="00E10D2C" w:rsidP="00E10D2C">
      <w:pPr>
        <w:numPr>
          <w:ilvl w:val="0"/>
          <w:numId w:val="10"/>
        </w:numPr>
        <w:pBdr>
          <w:top w:val="nil"/>
          <w:left w:val="nil"/>
          <w:bottom w:val="nil"/>
          <w:right w:val="nil"/>
          <w:between w:val="nil"/>
        </w:pBdr>
        <w:spacing w:before="120"/>
        <w:ind w:left="284" w:hanging="284"/>
        <w:jc w:val="both"/>
        <w:rPr>
          <w:rFonts w:ascii="Open Sans" w:eastAsia="Open Sans" w:hAnsi="Open Sans" w:cs="Open Sans"/>
        </w:rPr>
      </w:pPr>
      <w:r>
        <w:rPr>
          <w:rFonts w:ascii="Open Sans" w:eastAsia="Open Sans" w:hAnsi="Open Sans" w:cs="Open Sans"/>
        </w:rPr>
        <w:t>The necessity to convene a panel of experts (either on-site or online) to discuss and agree on the results of the expert assessment is decided by the SPF Beneficiary. The meetings of the panel of experts are not open to the public. Possible costs of organising the panel of experts’ meetings are covered by the SPF Beneficiary. Arrangements for the possible costs of experts' participation in the panel of experts’ meetings (e.g. travel costs, accommodation, per diems) are included in the contract concluded between the SPF Beneficiary and the expert.</w:t>
      </w:r>
    </w:p>
    <w:p w14:paraId="3D3954AF" w14:textId="77777777" w:rsidR="00E10D2C" w:rsidRDefault="00E10D2C" w:rsidP="00E10D2C">
      <w:pPr>
        <w:numPr>
          <w:ilvl w:val="0"/>
          <w:numId w:val="10"/>
        </w:numPr>
        <w:pBdr>
          <w:top w:val="nil"/>
          <w:left w:val="nil"/>
          <w:bottom w:val="nil"/>
          <w:right w:val="nil"/>
          <w:between w:val="nil"/>
        </w:pBdr>
        <w:spacing w:before="120"/>
        <w:ind w:left="284" w:hanging="284"/>
        <w:jc w:val="both"/>
        <w:rPr>
          <w:rFonts w:ascii="Open Sans" w:eastAsia="Open Sans" w:hAnsi="Open Sans" w:cs="Open Sans"/>
        </w:rPr>
      </w:pPr>
      <w:r>
        <w:rPr>
          <w:rFonts w:ascii="Open Sans" w:eastAsia="Open Sans" w:hAnsi="Open Sans" w:cs="Open Sans"/>
        </w:rPr>
        <w:t>In justified cases, the expert is obliged to provide the Small Project Committee with additional explanations in writing or to attend a meeting of the Committee to approve the projects assessed by the expert in question.</w:t>
      </w:r>
    </w:p>
    <w:p w14:paraId="5B7293E4" w14:textId="77777777" w:rsidR="00E10D2C" w:rsidRDefault="00E10D2C" w:rsidP="00E10D2C">
      <w:pPr>
        <w:pBdr>
          <w:top w:val="nil"/>
          <w:left w:val="nil"/>
          <w:bottom w:val="nil"/>
          <w:right w:val="nil"/>
          <w:between w:val="nil"/>
        </w:pBdr>
        <w:spacing w:after="0"/>
        <w:jc w:val="center"/>
        <w:rPr>
          <w:rFonts w:ascii="Open Sans" w:eastAsia="Open Sans" w:hAnsi="Open Sans" w:cs="Open Sans"/>
          <w:b/>
          <w:color w:val="0B5394"/>
          <w:sz w:val="21"/>
          <w:szCs w:val="21"/>
        </w:rPr>
      </w:pPr>
      <w:r>
        <w:rPr>
          <w:rFonts w:ascii="Open Sans" w:eastAsia="Open Sans" w:hAnsi="Open Sans" w:cs="Open Sans"/>
          <w:b/>
          <w:color w:val="0B5394"/>
          <w:sz w:val="21"/>
          <w:szCs w:val="21"/>
        </w:rPr>
        <w:t>§ 4</w:t>
      </w:r>
    </w:p>
    <w:p w14:paraId="55A07542" w14:textId="77777777" w:rsidR="00E10D2C" w:rsidRDefault="00E10D2C" w:rsidP="00E10D2C">
      <w:pPr>
        <w:pBdr>
          <w:top w:val="nil"/>
          <w:left w:val="nil"/>
          <w:bottom w:val="nil"/>
          <w:right w:val="nil"/>
          <w:between w:val="nil"/>
        </w:pBdr>
        <w:spacing w:after="0"/>
        <w:jc w:val="center"/>
        <w:rPr>
          <w:rFonts w:ascii="Open Sans" w:eastAsia="Open Sans" w:hAnsi="Open Sans" w:cs="Open Sans"/>
          <w:color w:val="0B5394"/>
        </w:rPr>
      </w:pPr>
      <w:r>
        <w:rPr>
          <w:rFonts w:ascii="Open Sans" w:eastAsia="Open Sans" w:hAnsi="Open Sans" w:cs="Open Sans"/>
          <w:b/>
          <w:color w:val="0B5394"/>
          <w:sz w:val="21"/>
          <w:szCs w:val="21"/>
        </w:rPr>
        <w:t>Official lan</w:t>
      </w:r>
      <w:r>
        <w:rPr>
          <w:rFonts w:ascii="Open Sans" w:eastAsia="Open Sans" w:hAnsi="Open Sans" w:cs="Open Sans"/>
          <w:b/>
          <w:color w:val="0B5394"/>
        </w:rPr>
        <w:t>guages</w:t>
      </w:r>
    </w:p>
    <w:p w14:paraId="07BF403E" w14:textId="77777777" w:rsidR="00E10D2C" w:rsidRDefault="00E10D2C" w:rsidP="00E10D2C">
      <w:pPr>
        <w:numPr>
          <w:ilvl w:val="0"/>
          <w:numId w:val="2"/>
        </w:numPr>
        <w:pBdr>
          <w:top w:val="nil"/>
          <w:left w:val="nil"/>
          <w:bottom w:val="nil"/>
          <w:right w:val="nil"/>
          <w:between w:val="nil"/>
        </w:pBdr>
        <w:spacing w:before="144" w:after="144"/>
        <w:ind w:left="426" w:hanging="426"/>
        <w:rPr>
          <w:rFonts w:ascii="Open Sans" w:eastAsia="Open Sans" w:hAnsi="Open Sans" w:cs="Open Sans"/>
          <w:color w:val="000000"/>
        </w:rPr>
      </w:pPr>
      <w:r>
        <w:rPr>
          <w:rFonts w:ascii="Open Sans" w:eastAsia="Open Sans" w:hAnsi="Open Sans" w:cs="Open Sans"/>
          <w:color w:val="000000"/>
          <w:sz w:val="21"/>
          <w:szCs w:val="21"/>
        </w:rPr>
        <w:t xml:space="preserve">The official language of the work of the Team of experts is English. </w:t>
      </w:r>
    </w:p>
    <w:p w14:paraId="4F104724" w14:textId="77777777" w:rsidR="00E10D2C" w:rsidRDefault="00E10D2C" w:rsidP="00E10D2C">
      <w:pPr>
        <w:pBdr>
          <w:top w:val="nil"/>
          <w:left w:val="nil"/>
          <w:bottom w:val="nil"/>
          <w:right w:val="nil"/>
          <w:between w:val="nil"/>
        </w:pBdr>
        <w:spacing w:before="120" w:after="0"/>
        <w:rPr>
          <w:rFonts w:ascii="Open Sans" w:eastAsia="Open Sans" w:hAnsi="Open Sans" w:cs="Open Sans"/>
          <w:color w:val="000000"/>
        </w:rPr>
      </w:pPr>
    </w:p>
    <w:p w14:paraId="3E8607E5" w14:textId="77777777" w:rsidR="00E10D2C" w:rsidRDefault="00E10D2C" w:rsidP="00E10D2C">
      <w:pPr>
        <w:pBdr>
          <w:top w:val="nil"/>
          <w:left w:val="nil"/>
          <w:bottom w:val="nil"/>
          <w:right w:val="nil"/>
          <w:between w:val="nil"/>
        </w:pBdr>
        <w:spacing w:after="0"/>
        <w:jc w:val="center"/>
        <w:rPr>
          <w:rFonts w:ascii="Open Sans" w:eastAsia="Open Sans" w:hAnsi="Open Sans" w:cs="Open Sans"/>
          <w:b/>
          <w:color w:val="0B5394"/>
        </w:rPr>
      </w:pPr>
      <w:r>
        <w:rPr>
          <w:rFonts w:ascii="Open Sans" w:eastAsia="Open Sans" w:hAnsi="Open Sans" w:cs="Open Sans"/>
          <w:b/>
          <w:color w:val="0B5394"/>
          <w:sz w:val="21"/>
          <w:szCs w:val="21"/>
        </w:rPr>
        <w:t>§ 5</w:t>
      </w:r>
    </w:p>
    <w:p w14:paraId="36E9B189" w14:textId="77777777" w:rsidR="00E10D2C" w:rsidRDefault="00E10D2C" w:rsidP="00E10D2C">
      <w:pPr>
        <w:pBdr>
          <w:top w:val="nil"/>
          <w:left w:val="nil"/>
          <w:bottom w:val="nil"/>
          <w:right w:val="nil"/>
          <w:between w:val="nil"/>
        </w:pBdr>
        <w:jc w:val="center"/>
        <w:rPr>
          <w:rFonts w:ascii="Open Sans" w:eastAsia="Open Sans" w:hAnsi="Open Sans" w:cs="Open Sans"/>
          <w:b/>
          <w:color w:val="0B5394"/>
        </w:rPr>
      </w:pPr>
      <w:r>
        <w:rPr>
          <w:rFonts w:ascii="Open Sans" w:eastAsia="Open Sans" w:hAnsi="Open Sans" w:cs="Open Sans"/>
          <w:b/>
          <w:color w:val="0B5394"/>
          <w:sz w:val="21"/>
          <w:szCs w:val="21"/>
        </w:rPr>
        <w:t>Approval of the Rules of Procedure and amendments thereto</w:t>
      </w:r>
    </w:p>
    <w:p w14:paraId="3E4CAA57" w14:textId="77777777" w:rsidR="00E10D2C" w:rsidRDefault="00E10D2C" w:rsidP="00E10D2C">
      <w:pPr>
        <w:numPr>
          <w:ilvl w:val="0"/>
          <w:numId w:val="3"/>
        </w:numPr>
        <w:pBdr>
          <w:top w:val="nil"/>
          <w:left w:val="nil"/>
          <w:bottom w:val="nil"/>
          <w:right w:val="nil"/>
          <w:between w:val="nil"/>
        </w:pBdr>
        <w:spacing w:before="120"/>
        <w:ind w:left="425" w:hanging="425"/>
        <w:jc w:val="both"/>
        <w:rPr>
          <w:rFonts w:ascii="Open Sans" w:eastAsia="Open Sans" w:hAnsi="Open Sans" w:cs="Open Sans"/>
          <w:color w:val="000000"/>
        </w:rPr>
      </w:pPr>
      <w:r>
        <w:rPr>
          <w:rFonts w:ascii="Open Sans" w:eastAsia="Open Sans" w:hAnsi="Open Sans" w:cs="Open Sans"/>
          <w:i/>
        </w:rPr>
        <w:t>The Rules of Procedure are annexed to the Manual for small projects in the Interreg NEXT Poland - Ukraine 2021-2027 Programme,</w:t>
      </w:r>
      <w:r>
        <w:rPr>
          <w:rFonts w:ascii="Open Sans" w:eastAsia="Open Sans" w:hAnsi="Open Sans" w:cs="Open Sans"/>
        </w:rPr>
        <w:t xml:space="preserve"> which is approved by the Managing Authority of the Interreg NEXT Poland - Ukraine 2021-2027 Programme.</w:t>
      </w:r>
    </w:p>
    <w:p w14:paraId="1E2F8FB8" w14:textId="77777777" w:rsidR="00E10D2C" w:rsidRDefault="00E10D2C" w:rsidP="00E10D2C">
      <w:pPr>
        <w:numPr>
          <w:ilvl w:val="0"/>
          <w:numId w:val="3"/>
        </w:numPr>
        <w:pBdr>
          <w:top w:val="nil"/>
          <w:left w:val="nil"/>
          <w:bottom w:val="nil"/>
          <w:right w:val="nil"/>
          <w:between w:val="nil"/>
        </w:pBdr>
        <w:spacing w:before="120"/>
        <w:ind w:left="425" w:hanging="425"/>
        <w:jc w:val="both"/>
        <w:rPr>
          <w:rFonts w:ascii="Open Sans" w:eastAsia="Open Sans" w:hAnsi="Open Sans" w:cs="Open Sans"/>
          <w:color w:val="000000"/>
        </w:rPr>
      </w:pPr>
      <w:r>
        <w:rPr>
          <w:rFonts w:ascii="Open Sans" w:eastAsia="Open Sans" w:hAnsi="Open Sans" w:cs="Open Sans"/>
        </w:rPr>
        <w:lastRenderedPageBreak/>
        <w:t xml:space="preserve">Any amendments to the </w:t>
      </w:r>
      <w:r>
        <w:rPr>
          <w:rFonts w:ascii="Open Sans" w:eastAsia="Open Sans" w:hAnsi="Open Sans" w:cs="Open Sans"/>
          <w:i/>
        </w:rPr>
        <w:t>Rules of Procedure</w:t>
      </w:r>
      <w:r>
        <w:rPr>
          <w:rFonts w:ascii="Open Sans" w:eastAsia="Open Sans" w:hAnsi="Open Sans" w:cs="Open Sans"/>
        </w:rPr>
        <w:t xml:space="preserve"> shall be made with the agreement of the Managing Authority under pain of nullity.</w:t>
      </w:r>
    </w:p>
    <w:p w14:paraId="21A93D98" w14:textId="77777777" w:rsidR="00E10D2C" w:rsidRDefault="00E10D2C" w:rsidP="00E10D2C">
      <w:pPr>
        <w:numPr>
          <w:ilvl w:val="0"/>
          <w:numId w:val="3"/>
        </w:numPr>
        <w:pBdr>
          <w:top w:val="nil"/>
          <w:left w:val="nil"/>
          <w:bottom w:val="nil"/>
          <w:right w:val="nil"/>
          <w:between w:val="nil"/>
        </w:pBdr>
        <w:spacing w:before="120"/>
        <w:ind w:left="425" w:hanging="425"/>
        <w:jc w:val="both"/>
        <w:rPr>
          <w:rFonts w:ascii="Open Sans" w:eastAsia="Open Sans" w:hAnsi="Open Sans" w:cs="Open Sans"/>
          <w:color w:val="000000"/>
        </w:rPr>
      </w:pPr>
      <w:r>
        <w:rPr>
          <w:rFonts w:ascii="Open Sans" w:eastAsia="Open Sans" w:hAnsi="Open Sans" w:cs="Open Sans"/>
        </w:rPr>
        <w:t>The Rules of Procedure shall enter into force on the date of their approval.</w:t>
      </w:r>
    </w:p>
    <w:p w14:paraId="74ACA916" w14:textId="77777777" w:rsidR="00E10D2C" w:rsidRDefault="00E10D2C" w:rsidP="00E10D2C">
      <w:pPr>
        <w:pBdr>
          <w:top w:val="nil"/>
          <w:left w:val="nil"/>
          <w:bottom w:val="nil"/>
          <w:right w:val="nil"/>
          <w:between w:val="nil"/>
        </w:pBdr>
        <w:spacing w:before="144" w:after="144"/>
        <w:rPr>
          <w:rFonts w:ascii="Open Sans" w:eastAsia="Open Sans" w:hAnsi="Open Sans" w:cs="Open Sans"/>
          <w:color w:val="4472C4"/>
        </w:rPr>
      </w:pPr>
    </w:p>
    <w:p w14:paraId="1EDFAC07" w14:textId="77777777" w:rsidR="00E10D2C" w:rsidRDefault="00E10D2C" w:rsidP="00E10D2C">
      <w:pPr>
        <w:pBdr>
          <w:top w:val="nil"/>
          <w:left w:val="nil"/>
          <w:bottom w:val="nil"/>
          <w:right w:val="nil"/>
          <w:between w:val="nil"/>
        </w:pBdr>
        <w:spacing w:before="144" w:after="144"/>
        <w:rPr>
          <w:rFonts w:ascii="Open Sans" w:eastAsia="Open Sans" w:hAnsi="Open Sans" w:cs="Open Sans"/>
          <w:b/>
          <w:color w:val="0B5394"/>
        </w:rPr>
      </w:pPr>
      <w:r>
        <w:rPr>
          <w:rFonts w:ascii="Open Sans" w:eastAsia="Open Sans" w:hAnsi="Open Sans" w:cs="Open Sans"/>
          <w:b/>
          <w:color w:val="0B5394"/>
          <w:sz w:val="21"/>
          <w:szCs w:val="21"/>
        </w:rPr>
        <w:t xml:space="preserve">On behalf of the SPF </w:t>
      </w:r>
      <w:r>
        <w:rPr>
          <w:rFonts w:ascii="Open Sans" w:eastAsia="Open Sans" w:hAnsi="Open Sans" w:cs="Open Sans"/>
          <w:b/>
          <w:color w:val="0B5394"/>
          <w:sz w:val="23"/>
          <w:szCs w:val="23"/>
        </w:rPr>
        <w:t>Beneficiary</w:t>
      </w:r>
    </w:p>
    <w:p w14:paraId="05D745EA" w14:textId="77777777" w:rsidR="00E10D2C" w:rsidRDefault="00E10D2C" w:rsidP="00E10D2C">
      <w:pPr>
        <w:pBdr>
          <w:top w:val="nil"/>
          <w:left w:val="nil"/>
          <w:bottom w:val="nil"/>
          <w:right w:val="nil"/>
          <w:between w:val="nil"/>
        </w:pBdr>
        <w:spacing w:before="144" w:after="144"/>
        <w:rPr>
          <w:rFonts w:ascii="Open Sans" w:eastAsia="Open Sans" w:hAnsi="Open Sans" w:cs="Open Sans"/>
          <w:color w:val="000000"/>
        </w:rPr>
      </w:pPr>
      <w:r>
        <w:rPr>
          <w:rFonts w:ascii="Open Sans" w:eastAsia="Open Sans" w:hAnsi="Open Sans" w:cs="Open Sans"/>
          <w:color w:val="000000"/>
          <w:sz w:val="21"/>
          <w:szCs w:val="21"/>
        </w:rPr>
        <w:t xml:space="preserve">Name: </w:t>
      </w:r>
    </w:p>
    <w:p w14:paraId="2EA1CC6B" w14:textId="77777777" w:rsidR="00E10D2C" w:rsidRDefault="00E10D2C" w:rsidP="00E10D2C">
      <w:pPr>
        <w:pBdr>
          <w:top w:val="nil"/>
          <w:left w:val="nil"/>
          <w:bottom w:val="nil"/>
          <w:right w:val="nil"/>
          <w:between w:val="nil"/>
        </w:pBdr>
        <w:spacing w:before="144" w:after="144"/>
        <w:rPr>
          <w:rFonts w:ascii="Open Sans" w:eastAsia="Open Sans" w:hAnsi="Open Sans" w:cs="Open Sans"/>
          <w:color w:val="000000"/>
        </w:rPr>
      </w:pPr>
      <w:r>
        <w:rPr>
          <w:rFonts w:ascii="Open Sans" w:eastAsia="Open Sans" w:hAnsi="Open Sans" w:cs="Open Sans"/>
          <w:color w:val="000000"/>
          <w:sz w:val="21"/>
          <w:szCs w:val="21"/>
        </w:rPr>
        <w:t xml:space="preserve">Caption: </w:t>
      </w:r>
    </w:p>
    <w:p w14:paraId="102BF75F" w14:textId="77777777" w:rsidR="00E10D2C" w:rsidRDefault="00E10D2C" w:rsidP="00E10D2C">
      <w:pPr>
        <w:pBdr>
          <w:top w:val="nil"/>
          <w:left w:val="nil"/>
          <w:bottom w:val="nil"/>
          <w:right w:val="nil"/>
          <w:between w:val="nil"/>
        </w:pBdr>
        <w:spacing w:before="144" w:after="144"/>
        <w:rPr>
          <w:rFonts w:ascii="Open Sans" w:eastAsia="Open Sans" w:hAnsi="Open Sans" w:cs="Open Sans"/>
          <w:color w:val="000000"/>
        </w:rPr>
      </w:pPr>
      <w:r>
        <w:rPr>
          <w:rFonts w:ascii="Open Sans" w:eastAsia="Open Sans" w:hAnsi="Open Sans" w:cs="Open Sans"/>
          <w:color w:val="000000"/>
          <w:sz w:val="21"/>
          <w:szCs w:val="21"/>
        </w:rPr>
        <w:t xml:space="preserve">Place and date: </w:t>
      </w:r>
    </w:p>
    <w:p w14:paraId="01BDAA78" w14:textId="77777777" w:rsidR="00E10D2C" w:rsidRDefault="00E10D2C" w:rsidP="00E10D2C">
      <w:pPr>
        <w:spacing w:before="120" w:after="0"/>
        <w:rPr>
          <w:rFonts w:ascii="Open Sans" w:eastAsia="Open Sans" w:hAnsi="Open Sans" w:cs="Open Sans"/>
          <w:color w:val="000000"/>
          <w:u w:val="single"/>
        </w:rPr>
      </w:pPr>
    </w:p>
    <w:p w14:paraId="64415E7C" w14:textId="77777777" w:rsidR="00E10D2C" w:rsidRDefault="00E10D2C" w:rsidP="00E10D2C">
      <w:pPr>
        <w:spacing w:after="0"/>
        <w:rPr>
          <w:rFonts w:ascii="Open Sans" w:eastAsia="Open Sans" w:hAnsi="Open Sans" w:cs="Open Sans"/>
          <w:b/>
          <w:color w:val="4472C4"/>
          <w:u w:val="single"/>
        </w:rPr>
      </w:pPr>
    </w:p>
    <w:p w14:paraId="3AD2B149" w14:textId="77777777" w:rsidR="00E10D2C" w:rsidRDefault="00E10D2C" w:rsidP="00E10D2C">
      <w:pPr>
        <w:spacing w:after="0"/>
        <w:rPr>
          <w:rFonts w:ascii="Open Sans" w:eastAsia="Open Sans" w:hAnsi="Open Sans" w:cs="Open Sans"/>
          <w:b/>
          <w:color w:val="0B5394"/>
          <w:sz w:val="21"/>
          <w:szCs w:val="21"/>
          <w:u w:val="single"/>
        </w:rPr>
      </w:pPr>
      <w:r>
        <w:rPr>
          <w:rFonts w:ascii="Open Sans" w:eastAsia="Open Sans" w:hAnsi="Open Sans" w:cs="Open Sans"/>
          <w:b/>
          <w:color w:val="0B5394"/>
          <w:sz w:val="21"/>
          <w:szCs w:val="21"/>
          <w:u w:val="single"/>
        </w:rPr>
        <w:t xml:space="preserve">Appendices: </w:t>
      </w:r>
    </w:p>
    <w:p w14:paraId="3FE82020" w14:textId="77777777" w:rsidR="00E10D2C" w:rsidRDefault="00E10D2C" w:rsidP="00E10D2C">
      <w:pPr>
        <w:spacing w:after="60"/>
        <w:rPr>
          <w:rFonts w:ascii="Open Sans" w:eastAsia="Open Sans" w:hAnsi="Open Sans" w:cs="Open Sans"/>
          <w:color w:val="000000"/>
        </w:rPr>
        <w:sectPr w:rsidR="00E10D2C" w:rsidSect="00E10D2C">
          <w:footerReference w:type="default" r:id="rId6"/>
          <w:pgSz w:w="11906" w:h="16838"/>
          <w:pgMar w:top="1417" w:right="1417" w:bottom="1417" w:left="1417" w:header="708" w:footer="708" w:gutter="0"/>
          <w:pgNumType w:start="1"/>
          <w:cols w:space="708"/>
        </w:sectPr>
      </w:pPr>
      <w:r>
        <w:rPr>
          <w:rFonts w:ascii="Open Sans" w:eastAsia="Open Sans" w:hAnsi="Open Sans" w:cs="Open Sans"/>
          <w:color w:val="000000"/>
        </w:rPr>
        <w:t>1. declaration of impartiality and confidentiality.</w:t>
      </w:r>
    </w:p>
    <w:p w14:paraId="472546F6" w14:textId="77777777" w:rsidR="00E10D2C" w:rsidRDefault="00E10D2C" w:rsidP="00E10D2C">
      <w:pPr>
        <w:spacing w:before="60" w:after="60"/>
        <w:rPr>
          <w:rFonts w:ascii="Open Sans" w:eastAsia="Open Sans" w:hAnsi="Open Sans" w:cs="Open Sans"/>
          <w:color w:val="000000"/>
          <w:u w:val="single"/>
        </w:rPr>
      </w:pPr>
    </w:p>
    <w:p w14:paraId="7C203550" w14:textId="77777777" w:rsidR="00E10D2C" w:rsidRDefault="00E10D2C" w:rsidP="00E10D2C">
      <w:pPr>
        <w:spacing w:before="60" w:after="60"/>
        <w:rPr>
          <w:rFonts w:ascii="Open Sans" w:eastAsia="Open Sans" w:hAnsi="Open Sans" w:cs="Open Sans"/>
          <w:color w:val="000000"/>
          <w:u w:val="single"/>
        </w:rPr>
      </w:pPr>
    </w:p>
    <w:p w14:paraId="7AAA381E" w14:textId="77777777" w:rsidR="00E10D2C" w:rsidRDefault="00E10D2C" w:rsidP="00E10D2C">
      <w:pPr>
        <w:spacing w:before="60" w:after="60"/>
        <w:rPr>
          <w:rFonts w:ascii="Open Sans" w:eastAsia="Open Sans" w:hAnsi="Open Sans" w:cs="Open Sans"/>
          <w:color w:val="000000"/>
          <w:u w:val="single"/>
        </w:rPr>
      </w:pPr>
      <w:r>
        <w:rPr>
          <w:rFonts w:ascii="Open Sans" w:eastAsia="Open Sans" w:hAnsi="Open Sans" w:cs="Open Sans"/>
          <w:b/>
          <w:smallCaps/>
          <w:noProof/>
        </w:rPr>
        <w:drawing>
          <wp:inline distT="0" distB="0" distL="0" distR="0" wp14:anchorId="1F96BF3D" wp14:editId="7533554F">
            <wp:extent cx="5731510" cy="1648046"/>
            <wp:effectExtent l="0" t="0" r="0" b="0"/>
            <wp:docPr id="1740835773" name="image1.jpg" descr="Obraz zawierający tekst, Czcionka, zrzut ekranu, Jaskrawoniebieski&#10;&#10;Zawartość wygenerowana przez sztuczną inteligencję może być niepoprawna."/>
            <wp:cNvGraphicFramePr/>
            <a:graphic xmlns:a="http://schemas.openxmlformats.org/drawingml/2006/main">
              <a:graphicData uri="http://schemas.openxmlformats.org/drawingml/2006/picture">
                <pic:pic xmlns:pic="http://schemas.openxmlformats.org/drawingml/2006/picture">
                  <pic:nvPicPr>
                    <pic:cNvPr id="0" name="image1.jpg" descr="Obraz zawierający tekst, Czcionka, zrzut ekranu, Jaskrawoniebieski&#10;&#10;Zawartość wygenerowana przez sztuczną inteligencję może być niepoprawna."/>
                    <pic:cNvPicPr preferRelativeResize="0"/>
                  </pic:nvPicPr>
                  <pic:blipFill>
                    <a:blip r:embed="rId5"/>
                    <a:srcRect/>
                    <a:stretch>
                      <a:fillRect/>
                    </a:stretch>
                  </pic:blipFill>
                  <pic:spPr>
                    <a:xfrm>
                      <a:off x="0" y="0"/>
                      <a:ext cx="5731510" cy="1648046"/>
                    </a:xfrm>
                    <a:prstGeom prst="rect">
                      <a:avLst/>
                    </a:prstGeom>
                    <a:ln/>
                  </pic:spPr>
                </pic:pic>
              </a:graphicData>
            </a:graphic>
          </wp:inline>
        </w:drawing>
      </w:r>
    </w:p>
    <w:p w14:paraId="6F37D30D" w14:textId="77777777" w:rsidR="00E10D2C" w:rsidRDefault="00E10D2C" w:rsidP="00E10D2C">
      <w:pPr>
        <w:spacing w:before="60" w:after="60"/>
        <w:rPr>
          <w:rFonts w:ascii="Open Sans" w:eastAsia="Open Sans" w:hAnsi="Open Sans" w:cs="Open Sans"/>
          <w:color w:val="000000"/>
          <w:u w:val="single"/>
        </w:rPr>
      </w:pPr>
    </w:p>
    <w:p w14:paraId="4BA8992D" w14:textId="77777777" w:rsidR="00E10D2C" w:rsidRDefault="00E10D2C" w:rsidP="00E10D2C">
      <w:pPr>
        <w:spacing w:before="60" w:after="0"/>
        <w:rPr>
          <w:rFonts w:ascii="Open Sans" w:eastAsia="Open Sans" w:hAnsi="Open Sans" w:cs="Open Sans"/>
          <w:b/>
          <w:i/>
          <w:color w:val="0B5394"/>
          <w:sz w:val="23"/>
          <w:szCs w:val="23"/>
        </w:rPr>
      </w:pPr>
      <w:r>
        <w:rPr>
          <w:rFonts w:ascii="Open Sans" w:eastAsia="Open Sans" w:hAnsi="Open Sans" w:cs="Open Sans"/>
          <w:b/>
          <w:color w:val="0B5394"/>
          <w:sz w:val="23"/>
          <w:szCs w:val="23"/>
        </w:rPr>
        <w:t xml:space="preserve">Annex 1 </w:t>
      </w:r>
      <w:r>
        <w:rPr>
          <w:rFonts w:ascii="Open Sans" w:eastAsia="Open Sans" w:hAnsi="Open Sans" w:cs="Open Sans"/>
          <w:b/>
          <w:i/>
          <w:color w:val="0B5394"/>
          <w:sz w:val="23"/>
          <w:szCs w:val="23"/>
        </w:rPr>
        <w:t>to the Rules of Procedure of the selection and work of experts for the Small Project Fund</w:t>
      </w:r>
    </w:p>
    <w:p w14:paraId="1E092C24" w14:textId="77777777" w:rsidR="00E10D2C" w:rsidRDefault="00E10D2C" w:rsidP="00E10D2C">
      <w:pPr>
        <w:spacing w:after="0"/>
        <w:rPr>
          <w:rFonts w:ascii="Open Sans" w:eastAsia="Open Sans" w:hAnsi="Open Sans" w:cs="Open Sans"/>
          <w:b/>
          <w:color w:val="0B5394"/>
          <w:sz w:val="23"/>
          <w:szCs w:val="23"/>
        </w:rPr>
      </w:pPr>
    </w:p>
    <w:p w14:paraId="60EF1DEB" w14:textId="77777777" w:rsidR="00E10D2C" w:rsidRDefault="00E10D2C" w:rsidP="00E10D2C">
      <w:pPr>
        <w:spacing w:after="0"/>
        <w:rPr>
          <w:rFonts w:ascii="Open Sans" w:eastAsia="Open Sans" w:hAnsi="Open Sans" w:cs="Open Sans"/>
          <w:b/>
          <w:color w:val="0B5394"/>
          <w:sz w:val="30"/>
          <w:szCs w:val="30"/>
        </w:rPr>
      </w:pPr>
      <w:r>
        <w:rPr>
          <w:rFonts w:ascii="Open Sans" w:eastAsia="Open Sans" w:hAnsi="Open Sans" w:cs="Open Sans"/>
          <w:b/>
          <w:color w:val="0B5394"/>
          <w:sz w:val="30"/>
          <w:szCs w:val="30"/>
        </w:rPr>
        <w:t xml:space="preserve">DECLARATION OF IMPARTIALITY AND CONFIDENTIALITY </w:t>
      </w:r>
    </w:p>
    <w:p w14:paraId="505BAD17" w14:textId="77777777" w:rsidR="00E10D2C" w:rsidRDefault="00E10D2C" w:rsidP="00E10D2C">
      <w:pPr>
        <w:spacing w:after="60"/>
        <w:rPr>
          <w:rFonts w:ascii="Open Sans" w:eastAsia="Open Sans" w:hAnsi="Open Sans" w:cs="Open Sans"/>
          <w:color w:val="1F4E79"/>
          <w:u w:val="single"/>
        </w:rPr>
      </w:pPr>
    </w:p>
    <w:p w14:paraId="680C3AB2" w14:textId="77777777" w:rsidR="00E10D2C" w:rsidRDefault="00E10D2C" w:rsidP="00E10D2C">
      <w:pPr>
        <w:spacing w:before="60" w:after="60"/>
        <w:rPr>
          <w:rFonts w:ascii="Open Sans" w:eastAsia="Open Sans" w:hAnsi="Open Sans" w:cs="Open Sans"/>
        </w:rPr>
      </w:pPr>
      <w:r>
        <w:rPr>
          <w:rFonts w:ascii="Open Sans" w:eastAsia="Open Sans" w:hAnsi="Open Sans" w:cs="Open Sans"/>
        </w:rPr>
        <w:t xml:space="preserve">I, the signatory ______________________________________________________________________ </w:t>
      </w:r>
    </w:p>
    <w:p w14:paraId="3834BBB8" w14:textId="77777777" w:rsidR="00E10D2C" w:rsidRDefault="00E10D2C" w:rsidP="00E10D2C">
      <w:pPr>
        <w:spacing w:before="60" w:after="60"/>
        <w:rPr>
          <w:rFonts w:ascii="Open Sans" w:eastAsia="Open Sans" w:hAnsi="Open Sans" w:cs="Open Sans"/>
        </w:rPr>
      </w:pPr>
    </w:p>
    <w:p w14:paraId="5A1261C0" w14:textId="77777777" w:rsidR="00E10D2C" w:rsidRDefault="00E10D2C" w:rsidP="00E10D2C">
      <w:pPr>
        <w:spacing w:before="144" w:after="144"/>
        <w:jc w:val="both"/>
        <w:rPr>
          <w:rFonts w:ascii="Open Sans" w:eastAsia="Open Sans" w:hAnsi="Open Sans" w:cs="Open Sans"/>
        </w:rPr>
      </w:pPr>
      <w:r>
        <w:rPr>
          <w:rFonts w:ascii="Open Sans" w:eastAsia="Open Sans" w:hAnsi="Open Sans" w:cs="Open Sans"/>
        </w:rPr>
        <w:t>I declare that I undertake to comply with the provisions concerning conflict of interests stipulated in Article 61 of the Regulation (EU, Euratom) 2024/2509 of the European Parliament and of the Council of 23 September 2024 on the financial rules applicable to the general budget of the Union (recast):</w:t>
      </w:r>
    </w:p>
    <w:p w14:paraId="0E3CEFC6" w14:textId="77777777" w:rsidR="00E10D2C" w:rsidRDefault="00E10D2C" w:rsidP="00E10D2C">
      <w:pPr>
        <w:spacing w:before="144" w:after="144"/>
        <w:jc w:val="both"/>
        <w:rPr>
          <w:rFonts w:ascii="Open Sans" w:eastAsia="Open Sans" w:hAnsi="Open Sans" w:cs="Open Sans"/>
        </w:rPr>
      </w:pPr>
      <w:r>
        <w:rPr>
          <w:rFonts w:ascii="Open Sans" w:eastAsia="Open Sans" w:hAnsi="Open Sans" w:cs="Open Sans"/>
        </w:rPr>
        <w:t xml:space="preserve">1. Financial actors and other persons, including national authorities at any level, involved in budget implementation under direct, indirect and shared management, including acts preparatory thereto, audit or control, shall not take any action which may bring their own interests into conflict with those of the Union. They shall also take appropriate measures to prevent a conflict of interests from arising in the functions under their responsibility and to address situations which may objectively be perceived as a conflict of interests. </w:t>
      </w:r>
    </w:p>
    <w:p w14:paraId="52C73D6B" w14:textId="77777777" w:rsidR="00E10D2C" w:rsidRDefault="00E10D2C" w:rsidP="00E10D2C">
      <w:pPr>
        <w:spacing w:before="144" w:after="144"/>
        <w:jc w:val="both"/>
        <w:rPr>
          <w:rFonts w:ascii="Open Sans" w:eastAsia="Open Sans" w:hAnsi="Open Sans" w:cs="Open Sans"/>
        </w:rPr>
      </w:pPr>
      <w:r>
        <w:rPr>
          <w:rFonts w:ascii="Open Sans" w:eastAsia="Open Sans" w:hAnsi="Open Sans" w:cs="Open Sans"/>
        </w:rPr>
        <w:t xml:space="preserve">2. Where there is a risk of a conflict of interests involving a member of staff of a national authority, the person in question shall refer the matter to his or her hierarchical superior. Where such a risk exists for staff covered by the Staff Regulations, the person in question shall refer the matter to the relevant authorising officer by delegation. The relevant hierarchical superior or the authorising officer by delegation shall confirm in writing whether a conflict of interests is found to exist. Where a conflict of interests is found to exist, the appointing authority or the relevant national authority shall ensure that the person in question ceases all activity in the matter. The relevant authorising officer by delegation or the relevant national authority shall ensure that any further appropriate action is taken in accordance with the applicable law, including, in the cases involving a </w:t>
      </w:r>
      <w:r>
        <w:rPr>
          <w:rFonts w:ascii="Open Sans" w:eastAsia="Open Sans" w:hAnsi="Open Sans" w:cs="Open Sans"/>
        </w:rPr>
        <w:lastRenderedPageBreak/>
        <w:t xml:space="preserve">member of staff of a national authority, with the national law relating to conflict of interests. </w:t>
      </w:r>
    </w:p>
    <w:p w14:paraId="408C1E71" w14:textId="77777777" w:rsidR="00E10D2C" w:rsidRDefault="00E10D2C" w:rsidP="00E10D2C">
      <w:pPr>
        <w:spacing w:before="144" w:after="144"/>
        <w:jc w:val="both"/>
        <w:rPr>
          <w:rFonts w:ascii="Open Sans" w:eastAsia="Open Sans" w:hAnsi="Open Sans" w:cs="Open Sans"/>
          <w:b/>
        </w:rPr>
      </w:pPr>
      <w:r>
        <w:rPr>
          <w:rFonts w:ascii="Open Sans" w:eastAsia="Open Sans" w:hAnsi="Open Sans" w:cs="Open Sans"/>
        </w:rPr>
        <w:t>3. For the purposes of paragraph 1, a conflict of interests exists where the impartial and objective exercise of the functions of a financial actor or other person, as referred to in paragraph 1, is compromised for reasons involving family, emotional life, political or national affinity, economic interest or any other direct or indirect personal interest”;</w:t>
      </w:r>
    </w:p>
    <w:p w14:paraId="5A78B675" w14:textId="77777777" w:rsidR="00E10D2C" w:rsidRDefault="00E10D2C" w:rsidP="00E10D2C">
      <w:pPr>
        <w:spacing w:before="144" w:after="144"/>
        <w:jc w:val="both"/>
        <w:rPr>
          <w:rFonts w:ascii="Open Sans" w:eastAsia="Open Sans" w:hAnsi="Open Sans" w:cs="Open Sans"/>
        </w:rPr>
      </w:pPr>
      <w:r>
        <w:rPr>
          <w:rFonts w:ascii="Open Sans" w:eastAsia="Open Sans" w:hAnsi="Open Sans" w:cs="Open Sans"/>
        </w:rPr>
        <w:t xml:space="preserve">I confirm that I have read the </w:t>
      </w:r>
      <w:r>
        <w:rPr>
          <w:rFonts w:ascii="Open Sans" w:eastAsia="Open Sans" w:hAnsi="Open Sans" w:cs="Open Sans"/>
          <w:i/>
        </w:rPr>
        <w:t>Rules of Procedure for the selection and work of experts for the Small Project Fund implemented under the Interreg NEXT Programme Poland-Ukraine 2021-2027</w:t>
      </w:r>
      <w:r>
        <w:rPr>
          <w:rFonts w:ascii="Open Sans" w:eastAsia="Open Sans" w:hAnsi="Open Sans" w:cs="Open Sans"/>
        </w:rPr>
        <w:t>, the available programme information and documents concerning the evaluation of small projects.</w:t>
      </w:r>
    </w:p>
    <w:p w14:paraId="63FC8570" w14:textId="77777777" w:rsidR="00E10D2C" w:rsidRDefault="00E10D2C" w:rsidP="00E10D2C">
      <w:pPr>
        <w:spacing w:before="144" w:after="144"/>
        <w:jc w:val="both"/>
        <w:rPr>
          <w:rFonts w:ascii="Open Sans" w:eastAsia="Open Sans" w:hAnsi="Open Sans" w:cs="Open Sans"/>
        </w:rPr>
      </w:pPr>
    </w:p>
    <w:p w14:paraId="6997F8D8" w14:textId="77777777" w:rsidR="00E10D2C" w:rsidRDefault="00E10D2C" w:rsidP="00E10D2C">
      <w:pPr>
        <w:spacing w:before="144" w:after="144"/>
        <w:jc w:val="both"/>
        <w:rPr>
          <w:rFonts w:ascii="Open Sans" w:eastAsia="Open Sans" w:hAnsi="Open Sans" w:cs="Open Sans"/>
        </w:rPr>
      </w:pPr>
      <w:bookmarkStart w:id="1" w:name="_heading=h.onckr0rw666w" w:colFirst="0" w:colLast="0"/>
      <w:bookmarkEnd w:id="1"/>
      <w:r>
        <w:rPr>
          <w:rFonts w:ascii="Open Sans" w:eastAsia="Open Sans" w:hAnsi="Open Sans" w:cs="Open Sans"/>
        </w:rPr>
        <w:t>I declare my readiness to evaluate small projects in a reliable and impartial manner and to carry out other tasks resulting from the participation in the work of the Team of experts at the same time declaring that:</w:t>
      </w:r>
    </w:p>
    <w:p w14:paraId="06326A89" w14:textId="77777777" w:rsidR="00E10D2C" w:rsidRDefault="00E10D2C" w:rsidP="00E10D2C">
      <w:pPr>
        <w:numPr>
          <w:ilvl w:val="0"/>
          <w:numId w:val="6"/>
        </w:numPr>
        <w:pBdr>
          <w:top w:val="nil"/>
          <w:left w:val="nil"/>
          <w:bottom w:val="nil"/>
          <w:right w:val="nil"/>
          <w:between w:val="nil"/>
        </w:pBdr>
        <w:spacing w:before="144" w:after="144"/>
        <w:ind w:left="426" w:hanging="426"/>
        <w:jc w:val="both"/>
        <w:rPr>
          <w:rFonts w:ascii="Open Sans" w:eastAsia="Open Sans" w:hAnsi="Open Sans" w:cs="Open Sans"/>
          <w:color w:val="000000"/>
        </w:rPr>
      </w:pPr>
      <w:r>
        <w:rPr>
          <w:rFonts w:ascii="Open Sans" w:eastAsia="Open Sans" w:hAnsi="Open Sans" w:cs="Open Sans"/>
        </w:rPr>
        <w:t>My ability to perform my role in the Team of experts impartially and objectively is/is not* compromised for reasons of family, emotional, sympathies, economic interest or any other direct or indirect personal interest in particular by:</w:t>
      </w:r>
    </w:p>
    <w:p w14:paraId="572DCB1B" w14:textId="77777777" w:rsidR="00E10D2C" w:rsidRDefault="00E10D2C" w:rsidP="00E10D2C">
      <w:pPr>
        <w:numPr>
          <w:ilvl w:val="2"/>
          <w:numId w:val="5"/>
        </w:numPr>
        <w:pBdr>
          <w:top w:val="nil"/>
          <w:left w:val="nil"/>
          <w:bottom w:val="nil"/>
          <w:right w:val="nil"/>
          <w:between w:val="nil"/>
        </w:pBdr>
        <w:spacing w:before="120" w:after="0"/>
        <w:ind w:left="641" w:hanging="357"/>
        <w:jc w:val="both"/>
        <w:rPr>
          <w:rFonts w:ascii="Open Sans" w:eastAsia="Open Sans" w:hAnsi="Open Sans" w:cs="Open Sans"/>
          <w:color w:val="000000"/>
        </w:rPr>
      </w:pPr>
      <w:r>
        <w:rPr>
          <w:rFonts w:ascii="Open Sans" w:eastAsia="Open Sans" w:hAnsi="Open Sans" w:cs="Open Sans"/>
        </w:rPr>
        <w:t>Participating in the preparation of the application for a small project to be evaluated.</w:t>
      </w:r>
    </w:p>
    <w:p w14:paraId="12D5B3A3" w14:textId="77777777" w:rsidR="00E10D2C" w:rsidRDefault="00E10D2C" w:rsidP="00E10D2C">
      <w:pPr>
        <w:numPr>
          <w:ilvl w:val="2"/>
          <w:numId w:val="5"/>
        </w:numPr>
        <w:pBdr>
          <w:top w:val="nil"/>
          <w:left w:val="nil"/>
          <w:bottom w:val="nil"/>
          <w:right w:val="nil"/>
          <w:between w:val="nil"/>
        </w:pBdr>
        <w:spacing w:after="0"/>
        <w:ind w:left="641" w:hanging="357"/>
        <w:jc w:val="both"/>
        <w:rPr>
          <w:rFonts w:ascii="Open Sans" w:eastAsia="Open Sans" w:hAnsi="Open Sans" w:cs="Open Sans"/>
          <w:color w:val="000000"/>
        </w:rPr>
      </w:pPr>
      <w:r>
        <w:rPr>
          <w:rFonts w:ascii="Open Sans" w:eastAsia="Open Sans" w:hAnsi="Open Sans" w:cs="Open Sans"/>
        </w:rPr>
        <w:t>Personal and/or institutional affiliation with any applicant/partner of a small project or entity involved in the preparation of a small project under assessment.</w:t>
      </w:r>
    </w:p>
    <w:p w14:paraId="2B592C1D" w14:textId="77777777" w:rsidR="00E10D2C" w:rsidRDefault="00E10D2C" w:rsidP="00E10D2C">
      <w:pPr>
        <w:numPr>
          <w:ilvl w:val="2"/>
          <w:numId w:val="5"/>
        </w:numPr>
        <w:pBdr>
          <w:top w:val="nil"/>
          <w:left w:val="nil"/>
          <w:bottom w:val="nil"/>
          <w:right w:val="nil"/>
          <w:between w:val="nil"/>
        </w:pBdr>
        <w:spacing w:after="0"/>
        <w:ind w:left="641" w:hanging="357"/>
        <w:jc w:val="both"/>
        <w:rPr>
          <w:rFonts w:ascii="Open Sans" w:eastAsia="Open Sans" w:hAnsi="Open Sans" w:cs="Open Sans"/>
          <w:color w:val="000000"/>
        </w:rPr>
      </w:pPr>
      <w:r>
        <w:rPr>
          <w:rFonts w:ascii="Open Sans" w:eastAsia="Open Sans" w:hAnsi="Open Sans" w:cs="Open Sans"/>
        </w:rPr>
        <w:t>Having a superior or subordinate relationship to the persons involved in the submitted small project to be evaluated.</w:t>
      </w:r>
    </w:p>
    <w:p w14:paraId="16FE1B58" w14:textId="77777777" w:rsidR="00E10D2C" w:rsidRDefault="00E10D2C" w:rsidP="00E10D2C">
      <w:pPr>
        <w:numPr>
          <w:ilvl w:val="2"/>
          <w:numId w:val="5"/>
        </w:numPr>
        <w:pBdr>
          <w:top w:val="nil"/>
          <w:left w:val="nil"/>
          <w:bottom w:val="nil"/>
          <w:right w:val="nil"/>
          <w:between w:val="nil"/>
        </w:pBdr>
        <w:ind w:left="641" w:hanging="357"/>
        <w:jc w:val="both"/>
        <w:rPr>
          <w:rFonts w:ascii="Open Sans" w:eastAsia="Open Sans" w:hAnsi="Open Sans" w:cs="Open Sans"/>
          <w:color w:val="000000"/>
        </w:rPr>
      </w:pPr>
      <w:r>
        <w:rPr>
          <w:rFonts w:ascii="Open Sans" w:eastAsia="Open Sans" w:hAnsi="Open Sans" w:cs="Open Sans"/>
        </w:rPr>
        <w:t>The initiation of an official investigation, disciplinary or criminal proceedings against my person to the extent that they impinge on my credibility, impartiality or integrity.</w:t>
      </w:r>
    </w:p>
    <w:p w14:paraId="2D6BCB66" w14:textId="77777777" w:rsidR="00E10D2C" w:rsidRDefault="00E10D2C" w:rsidP="00E10D2C">
      <w:pPr>
        <w:numPr>
          <w:ilvl w:val="0"/>
          <w:numId w:val="6"/>
        </w:numPr>
        <w:pBdr>
          <w:top w:val="nil"/>
          <w:left w:val="nil"/>
          <w:bottom w:val="nil"/>
          <w:right w:val="nil"/>
          <w:between w:val="nil"/>
        </w:pBdr>
        <w:spacing w:before="120"/>
        <w:ind w:left="425" w:hanging="425"/>
        <w:jc w:val="both"/>
        <w:rPr>
          <w:rFonts w:ascii="Open Sans" w:eastAsia="Open Sans" w:hAnsi="Open Sans" w:cs="Open Sans"/>
          <w:color w:val="000000"/>
        </w:rPr>
      </w:pPr>
      <w:r>
        <w:rPr>
          <w:rFonts w:ascii="Open Sans" w:eastAsia="Open Sans" w:hAnsi="Open Sans" w:cs="Open Sans"/>
        </w:rPr>
        <w:t>If, in the course of the evaluation and/or discussion at the Team of experts meeting, circumstances arise that may cast doubt on my impartial and objective performance of the assigned function, including the evaluation of a small project, I will immediately disclose any potential conflict of interest involving me and notify the Chairperson, which will result in my exclusion from the evaluation and discussion to the extent of the conflict.</w:t>
      </w:r>
    </w:p>
    <w:p w14:paraId="1B66C606" w14:textId="77777777" w:rsidR="00E10D2C" w:rsidRDefault="00E10D2C" w:rsidP="00E10D2C">
      <w:pPr>
        <w:numPr>
          <w:ilvl w:val="0"/>
          <w:numId w:val="6"/>
        </w:numPr>
        <w:pBdr>
          <w:top w:val="nil"/>
          <w:left w:val="nil"/>
          <w:bottom w:val="nil"/>
          <w:right w:val="nil"/>
          <w:between w:val="nil"/>
        </w:pBdr>
        <w:spacing w:before="144" w:after="144"/>
        <w:ind w:left="426" w:hanging="426"/>
        <w:jc w:val="both"/>
        <w:rPr>
          <w:rFonts w:ascii="Open Sans" w:eastAsia="Open Sans" w:hAnsi="Open Sans" w:cs="Open Sans"/>
          <w:color w:val="000000"/>
        </w:rPr>
      </w:pPr>
      <w:r>
        <w:rPr>
          <w:rFonts w:ascii="Open Sans" w:eastAsia="Open Sans" w:hAnsi="Open Sans" w:cs="Open Sans"/>
        </w:rPr>
        <w:t>I undertake not to use confidential information and documents that will be provided to me in connection with the activities carried out within the Team of experts for purposes other than those directly related to my activities carried out in the evaluation of small projects and the work of the Team of experts.</w:t>
      </w:r>
    </w:p>
    <w:p w14:paraId="50C78FF9" w14:textId="77777777" w:rsidR="00E10D2C" w:rsidRDefault="00E10D2C" w:rsidP="00E10D2C">
      <w:pPr>
        <w:spacing w:before="60" w:after="60"/>
        <w:rPr>
          <w:rFonts w:ascii="Open Sans" w:eastAsia="Open Sans" w:hAnsi="Open Sans" w:cs="Open Sans"/>
        </w:rPr>
      </w:pPr>
    </w:p>
    <w:p w14:paraId="12EB1B5A" w14:textId="77777777" w:rsidR="00E10D2C" w:rsidRDefault="00E10D2C" w:rsidP="00E10D2C">
      <w:pPr>
        <w:spacing w:before="60" w:after="60"/>
        <w:rPr>
          <w:rFonts w:ascii="Open Sans" w:eastAsia="Open Sans" w:hAnsi="Open Sans" w:cs="Open Sans"/>
          <w:i/>
        </w:rPr>
      </w:pPr>
      <w:r>
        <w:rPr>
          <w:rFonts w:ascii="Open Sans" w:eastAsia="Open Sans" w:hAnsi="Open Sans" w:cs="Open Sans"/>
          <w:i/>
        </w:rPr>
        <w:lastRenderedPageBreak/>
        <w:t>I acknowledge that failure to comply with the above rules will result in my dismissal from the Team of experts for the Interreg NEXT Poland-Ukraine 2021-2027 Programme and may result, inter alia, in the cancellation of the evaluation of small projects.</w:t>
      </w:r>
    </w:p>
    <w:p w14:paraId="608501A4" w14:textId="77777777" w:rsidR="00E10D2C" w:rsidRDefault="00E10D2C" w:rsidP="00E10D2C">
      <w:pPr>
        <w:spacing w:before="60" w:after="60"/>
        <w:rPr>
          <w:rFonts w:ascii="Open Sans" w:eastAsia="Open Sans" w:hAnsi="Open Sans" w:cs="Open Sans"/>
          <w:i/>
        </w:rPr>
      </w:pPr>
    </w:p>
    <w:p w14:paraId="699CE863" w14:textId="77777777" w:rsidR="00E10D2C" w:rsidRDefault="00E10D2C" w:rsidP="00E10D2C">
      <w:pPr>
        <w:spacing w:before="60" w:after="60"/>
        <w:rPr>
          <w:rFonts w:ascii="Open Sans" w:eastAsia="Open Sans" w:hAnsi="Open Sans" w:cs="Open Sans"/>
        </w:rPr>
      </w:pPr>
    </w:p>
    <w:p w14:paraId="438C08D0" w14:textId="77777777" w:rsidR="00E10D2C" w:rsidRDefault="00E10D2C" w:rsidP="00E10D2C">
      <w:pPr>
        <w:spacing w:before="60" w:after="60"/>
        <w:rPr>
          <w:rFonts w:ascii="Open Sans" w:eastAsia="Open Sans" w:hAnsi="Open Sans" w:cs="Open Sans"/>
        </w:rPr>
      </w:pPr>
      <w:r>
        <w:rPr>
          <w:rFonts w:ascii="Open Sans" w:eastAsia="Open Sans" w:hAnsi="Open Sans" w:cs="Open Sans"/>
        </w:rPr>
        <w:t>Place and date: _________________________ Signature: _______________________________</w:t>
      </w:r>
    </w:p>
    <w:p w14:paraId="6E3AEE26" w14:textId="77777777" w:rsidR="00E10D2C" w:rsidRDefault="00E10D2C" w:rsidP="00E10D2C">
      <w:pPr>
        <w:spacing w:before="60" w:after="60"/>
        <w:rPr>
          <w:rFonts w:ascii="Open Sans" w:eastAsia="Open Sans" w:hAnsi="Open Sans" w:cs="Open Sans"/>
          <w:i/>
        </w:rPr>
      </w:pPr>
    </w:p>
    <w:p w14:paraId="65CF18CB" w14:textId="77777777" w:rsidR="00E10D2C" w:rsidRDefault="00E10D2C" w:rsidP="00E10D2C">
      <w:pPr>
        <w:spacing w:before="60" w:after="60"/>
        <w:rPr>
          <w:rFonts w:ascii="Open Sans" w:eastAsia="Open Sans" w:hAnsi="Open Sans" w:cs="Open Sans"/>
        </w:rPr>
      </w:pPr>
    </w:p>
    <w:tbl>
      <w:tblPr>
        <w:tblW w:w="8864" w:type="dxa"/>
        <w:tblInd w:w="-5" w:type="dxa"/>
        <w:tblLayout w:type="fixed"/>
        <w:tblLook w:val="0000" w:firstRow="0" w:lastRow="0" w:firstColumn="0" w:lastColumn="0" w:noHBand="0" w:noVBand="0"/>
      </w:tblPr>
      <w:tblGrid>
        <w:gridCol w:w="3761"/>
        <w:gridCol w:w="5103"/>
      </w:tblGrid>
      <w:tr w:rsidR="00E10D2C" w14:paraId="27AC78A4" w14:textId="77777777" w:rsidTr="007D607C">
        <w:trPr>
          <w:trHeight w:val="23"/>
        </w:trPr>
        <w:tc>
          <w:tcPr>
            <w:tcW w:w="8864" w:type="dxa"/>
            <w:gridSpan w:val="2"/>
            <w:tcBorders>
              <w:top w:val="single" w:sz="4" w:space="0" w:color="000000"/>
              <w:left w:val="single" w:sz="4" w:space="0" w:color="000000"/>
              <w:bottom w:val="single" w:sz="4" w:space="0" w:color="000000"/>
              <w:right w:val="single" w:sz="4" w:space="0" w:color="000000"/>
            </w:tcBorders>
          </w:tcPr>
          <w:p w14:paraId="54F720A7" w14:textId="77777777" w:rsidR="00E10D2C" w:rsidRDefault="00E10D2C" w:rsidP="007D607C">
            <w:pPr>
              <w:spacing w:before="60" w:after="60"/>
              <w:rPr>
                <w:rFonts w:ascii="Open Sans" w:eastAsia="Open Sans" w:hAnsi="Open Sans" w:cs="Open Sans"/>
              </w:rPr>
            </w:pPr>
            <w:r>
              <w:rPr>
                <w:rFonts w:ascii="Open Sans" w:eastAsia="Open Sans" w:hAnsi="Open Sans" w:cs="Open Sans"/>
              </w:rPr>
              <w:t>If there is a conflict of interest, please indicate the title, the small project number and the name of the Applicant/Partner</w:t>
            </w:r>
          </w:p>
        </w:tc>
      </w:tr>
      <w:tr w:rsidR="00E10D2C" w14:paraId="09CA68DA" w14:textId="77777777" w:rsidTr="007D607C">
        <w:trPr>
          <w:trHeight w:val="270"/>
        </w:trPr>
        <w:tc>
          <w:tcPr>
            <w:tcW w:w="3761" w:type="dxa"/>
            <w:tcBorders>
              <w:top w:val="single" w:sz="4" w:space="0" w:color="000000"/>
              <w:left w:val="single" w:sz="4" w:space="0" w:color="000000"/>
              <w:bottom w:val="single" w:sz="4" w:space="0" w:color="000000"/>
            </w:tcBorders>
          </w:tcPr>
          <w:p w14:paraId="1E9CFA7B" w14:textId="77777777" w:rsidR="00E10D2C" w:rsidRDefault="00E10D2C" w:rsidP="007D607C">
            <w:pPr>
              <w:spacing w:before="60" w:after="60"/>
              <w:rPr>
                <w:rFonts w:ascii="Open Sans" w:eastAsia="Open Sans" w:hAnsi="Open Sans" w:cs="Open Sans"/>
              </w:rPr>
            </w:pPr>
            <w:r>
              <w:rPr>
                <w:rFonts w:ascii="Open Sans" w:eastAsia="Open Sans" w:hAnsi="Open Sans" w:cs="Open Sans"/>
              </w:rPr>
              <w:t>Small project title and number</w:t>
            </w:r>
          </w:p>
        </w:tc>
        <w:tc>
          <w:tcPr>
            <w:tcW w:w="5103" w:type="dxa"/>
            <w:tcBorders>
              <w:top w:val="single" w:sz="4" w:space="0" w:color="000000"/>
              <w:left w:val="single" w:sz="4" w:space="0" w:color="000000"/>
              <w:bottom w:val="single" w:sz="4" w:space="0" w:color="000000"/>
              <w:right w:val="single" w:sz="4" w:space="0" w:color="000000"/>
            </w:tcBorders>
          </w:tcPr>
          <w:p w14:paraId="0741FE6E" w14:textId="77777777" w:rsidR="00E10D2C" w:rsidRDefault="00E10D2C" w:rsidP="007D607C">
            <w:pPr>
              <w:spacing w:before="60" w:after="60"/>
              <w:rPr>
                <w:rFonts w:ascii="Open Sans" w:eastAsia="Open Sans" w:hAnsi="Open Sans" w:cs="Open Sans"/>
                <w:sz w:val="19"/>
                <w:szCs w:val="19"/>
                <w:highlight w:val="yellow"/>
              </w:rPr>
            </w:pPr>
          </w:p>
        </w:tc>
      </w:tr>
      <w:tr w:rsidR="00E10D2C" w14:paraId="141C64BA" w14:textId="77777777" w:rsidTr="007D607C">
        <w:trPr>
          <w:trHeight w:val="70"/>
        </w:trPr>
        <w:tc>
          <w:tcPr>
            <w:tcW w:w="3761" w:type="dxa"/>
            <w:tcBorders>
              <w:top w:val="single" w:sz="4" w:space="0" w:color="000000"/>
              <w:left w:val="single" w:sz="4" w:space="0" w:color="000000"/>
              <w:bottom w:val="single" w:sz="4" w:space="0" w:color="000000"/>
            </w:tcBorders>
          </w:tcPr>
          <w:p w14:paraId="35253116" w14:textId="77777777" w:rsidR="00E10D2C" w:rsidRDefault="00E10D2C" w:rsidP="007D607C">
            <w:pPr>
              <w:spacing w:before="60" w:after="60"/>
              <w:rPr>
                <w:rFonts w:ascii="Open Sans" w:eastAsia="Open Sans" w:hAnsi="Open Sans" w:cs="Open Sans"/>
              </w:rPr>
            </w:pPr>
            <w:r>
              <w:rPr>
                <w:rFonts w:ascii="Open Sans" w:eastAsia="Open Sans" w:hAnsi="Open Sans" w:cs="Open Sans"/>
              </w:rPr>
              <w:t>Name of the Applicant/Partner*</w:t>
            </w:r>
          </w:p>
        </w:tc>
        <w:tc>
          <w:tcPr>
            <w:tcW w:w="5103" w:type="dxa"/>
            <w:tcBorders>
              <w:top w:val="single" w:sz="4" w:space="0" w:color="000000"/>
              <w:left w:val="single" w:sz="4" w:space="0" w:color="000000"/>
              <w:bottom w:val="single" w:sz="4" w:space="0" w:color="000000"/>
              <w:right w:val="single" w:sz="4" w:space="0" w:color="000000"/>
            </w:tcBorders>
          </w:tcPr>
          <w:p w14:paraId="6ED8F42D" w14:textId="77777777" w:rsidR="00E10D2C" w:rsidRDefault="00E10D2C" w:rsidP="007D607C">
            <w:pPr>
              <w:spacing w:before="60" w:after="60"/>
              <w:rPr>
                <w:rFonts w:ascii="Open Sans" w:eastAsia="Open Sans" w:hAnsi="Open Sans" w:cs="Open Sans"/>
                <w:sz w:val="19"/>
                <w:szCs w:val="19"/>
                <w:highlight w:val="yellow"/>
              </w:rPr>
            </w:pPr>
          </w:p>
        </w:tc>
      </w:tr>
    </w:tbl>
    <w:p w14:paraId="2050E925" w14:textId="77777777" w:rsidR="00E10D2C" w:rsidRDefault="00E10D2C" w:rsidP="00E10D2C">
      <w:pPr>
        <w:spacing w:before="60" w:after="60"/>
        <w:rPr>
          <w:rFonts w:ascii="Open Sans" w:eastAsia="Open Sans" w:hAnsi="Open Sans" w:cs="Open Sans"/>
          <w:color w:val="000000"/>
        </w:rPr>
      </w:pPr>
    </w:p>
    <w:p w14:paraId="5B0D0569" w14:textId="77777777" w:rsidR="00E10D2C" w:rsidRDefault="00E10D2C" w:rsidP="00E10D2C">
      <w:pPr>
        <w:spacing w:before="60" w:after="60"/>
        <w:rPr>
          <w:rFonts w:ascii="Open Sans" w:eastAsia="Open Sans" w:hAnsi="Open Sans" w:cs="Open Sans"/>
        </w:rPr>
      </w:pPr>
      <w:r>
        <w:rPr>
          <w:rFonts w:ascii="Open Sans" w:eastAsia="Open Sans" w:hAnsi="Open Sans" w:cs="Open Sans"/>
          <w:i/>
        </w:rPr>
        <w:t>* delete as appropriate</w:t>
      </w:r>
    </w:p>
    <w:p w14:paraId="1D95663D" w14:textId="77777777" w:rsidR="00E10D2C" w:rsidRDefault="00E10D2C" w:rsidP="00E10D2C">
      <w:pPr>
        <w:spacing w:before="60" w:after="60"/>
        <w:rPr>
          <w:rFonts w:ascii="Open Sans" w:eastAsia="Open Sans" w:hAnsi="Open Sans" w:cs="Open Sans"/>
        </w:rPr>
      </w:pPr>
    </w:p>
    <w:p w14:paraId="163A0F3E" w14:textId="77777777" w:rsidR="00161035" w:rsidRDefault="00161035"/>
    <w:sectPr w:rsidR="00161035" w:rsidSect="00E10D2C">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CA2D9" w14:textId="77777777" w:rsidR="00E10D2C" w:rsidRDefault="00E10D2C">
    <w:pPr>
      <w:pBdr>
        <w:top w:val="nil"/>
        <w:left w:val="nil"/>
        <w:bottom w:val="nil"/>
        <w:right w:val="nil"/>
        <w:between w:val="nil"/>
      </w:pBdr>
      <w:tabs>
        <w:tab w:val="center" w:pos="4536"/>
        <w:tab w:val="right" w:pos="9072"/>
      </w:tabs>
      <w:spacing w:after="0"/>
      <w:rPr>
        <w:rFonts w:ascii="Open Sans" w:eastAsia="Open Sans" w:hAnsi="Open Sans" w:cs="Open Sans"/>
        <w:color w:val="000000"/>
      </w:rPr>
    </w:pPr>
  </w:p>
  <w:p w14:paraId="75E02F14" w14:textId="77777777" w:rsidR="00E10D2C" w:rsidRDefault="00E10D2C">
    <w:pPr>
      <w:pBdr>
        <w:top w:val="nil"/>
        <w:left w:val="nil"/>
        <w:bottom w:val="nil"/>
        <w:right w:val="nil"/>
        <w:between w:val="nil"/>
      </w:pBdr>
      <w:tabs>
        <w:tab w:val="center" w:pos="4536"/>
        <w:tab w:val="right" w:pos="9072"/>
      </w:tabs>
      <w:spacing w:after="0"/>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C7D79"/>
    <w:multiLevelType w:val="multilevel"/>
    <w:tmpl w:val="CD6C3AC6"/>
    <w:lvl w:ilvl="0">
      <w:start w:val="1"/>
      <w:numFmt w:val="lowerLetter"/>
      <w:lvlText w:val="%1)"/>
      <w:lvlJc w:val="left"/>
      <w:pPr>
        <w:ind w:left="644" w:hanging="358"/>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1A667C05"/>
    <w:multiLevelType w:val="multilevel"/>
    <w:tmpl w:val="636C81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A463A5"/>
    <w:multiLevelType w:val="multilevel"/>
    <w:tmpl w:val="0B34438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EBB70C2"/>
    <w:multiLevelType w:val="multilevel"/>
    <w:tmpl w:val="42308482"/>
    <w:lvl w:ilvl="0">
      <w:start w:val="1"/>
      <w:numFmt w:val="bullet"/>
      <w:lvlText w:val="−"/>
      <w:lvlJc w:val="left"/>
      <w:pPr>
        <w:ind w:left="1440" w:hanging="360"/>
      </w:pPr>
      <w:rPr>
        <w:rFonts w:ascii="Noto Sans Symbols" w:eastAsia="Noto Sans Symbols" w:hAnsi="Noto Sans Symbols" w:cs="Noto Sans Symbols"/>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3C124801"/>
    <w:multiLevelType w:val="multilevel"/>
    <w:tmpl w:val="16C4AAF2"/>
    <w:lvl w:ilvl="0">
      <w:start w:val="1"/>
      <w:numFmt w:val="decimal"/>
      <w:lvlText w:val="%1."/>
      <w:lvlJc w:val="left"/>
      <w:pPr>
        <w:ind w:left="765" w:hanging="360"/>
      </w:pPr>
      <w:rPr>
        <w:rFonts w:ascii="Calibri" w:eastAsia="Calibri" w:hAnsi="Calibri" w:cs="Calibri"/>
      </w:rPr>
    </w:lvl>
    <w:lvl w:ilvl="1">
      <w:start w:val="1"/>
      <w:numFmt w:val="lowerLetter"/>
      <w:lvlText w:val="%2)"/>
      <w:lvlJc w:val="left"/>
      <w:pPr>
        <w:ind w:left="1485" w:hanging="360"/>
      </w:pPr>
    </w:lvl>
    <w:lvl w:ilvl="2">
      <w:start w:val="1"/>
      <w:numFmt w:val="lowerLetter"/>
      <w:lvlText w:val="%3)"/>
      <w:lvlJc w:val="left"/>
      <w:pPr>
        <w:ind w:left="644" w:hanging="358"/>
      </w:p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5" w15:restartNumberingAfterBreak="0">
    <w:nsid w:val="43D76022"/>
    <w:multiLevelType w:val="multilevel"/>
    <w:tmpl w:val="6AEAF19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832716B"/>
    <w:multiLevelType w:val="multilevel"/>
    <w:tmpl w:val="DC86A5B2"/>
    <w:lvl w:ilvl="0">
      <w:start w:val="1"/>
      <w:numFmt w:val="bullet"/>
      <w:lvlText w:val="−"/>
      <w:lvlJc w:val="left"/>
      <w:pPr>
        <w:ind w:left="1004" w:hanging="360"/>
      </w:pPr>
      <w:rPr>
        <w:rFonts w:ascii="Noto Sans Symbols" w:eastAsia="Noto Sans Symbols" w:hAnsi="Noto Sans Symbols" w:cs="Noto Sans Symbols"/>
        <w:color w:val="000000"/>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7" w15:restartNumberingAfterBreak="0">
    <w:nsid w:val="50D83334"/>
    <w:multiLevelType w:val="multilevel"/>
    <w:tmpl w:val="0D4461D8"/>
    <w:lvl w:ilvl="0">
      <w:start w:val="1"/>
      <w:numFmt w:val="decimal"/>
      <w:lvlText w:val="%1."/>
      <w:lvlJc w:val="left"/>
      <w:pPr>
        <w:ind w:left="765" w:hanging="360"/>
      </w:pPr>
      <w:rPr>
        <w:rFonts w:ascii="Open Sans" w:eastAsia="Open Sans" w:hAnsi="Open Sans" w:cs="Open San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8" w15:restartNumberingAfterBreak="0">
    <w:nsid w:val="69040990"/>
    <w:multiLevelType w:val="multilevel"/>
    <w:tmpl w:val="170479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C4D16FC"/>
    <w:multiLevelType w:val="multilevel"/>
    <w:tmpl w:val="0C18326A"/>
    <w:lvl w:ilvl="0">
      <w:start w:val="1"/>
      <w:numFmt w:val="lowerLetter"/>
      <w:lvlText w:val="%1)"/>
      <w:lvlJc w:val="left"/>
      <w:pPr>
        <w:ind w:left="720" w:hanging="360"/>
      </w:p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F247F75"/>
    <w:multiLevelType w:val="multilevel"/>
    <w:tmpl w:val="1C8EF99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96737F1"/>
    <w:multiLevelType w:val="multilevel"/>
    <w:tmpl w:val="A9F81D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D1D189A"/>
    <w:multiLevelType w:val="multilevel"/>
    <w:tmpl w:val="F0EC37AC"/>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2413357">
    <w:abstractNumId w:val="5"/>
  </w:num>
  <w:num w:numId="2" w16cid:durableId="1090393405">
    <w:abstractNumId w:val="10"/>
  </w:num>
  <w:num w:numId="3" w16cid:durableId="739256743">
    <w:abstractNumId w:val="8"/>
  </w:num>
  <w:num w:numId="4" w16cid:durableId="953751062">
    <w:abstractNumId w:val="0"/>
  </w:num>
  <w:num w:numId="5" w16cid:durableId="151021391">
    <w:abstractNumId w:val="4"/>
  </w:num>
  <w:num w:numId="6" w16cid:durableId="307053366">
    <w:abstractNumId w:val="7"/>
  </w:num>
  <w:num w:numId="7" w16cid:durableId="774864772">
    <w:abstractNumId w:val="11"/>
  </w:num>
  <w:num w:numId="8" w16cid:durableId="659963495">
    <w:abstractNumId w:val="2"/>
  </w:num>
  <w:num w:numId="9" w16cid:durableId="430786588">
    <w:abstractNumId w:val="9"/>
  </w:num>
  <w:num w:numId="10" w16cid:durableId="924917780">
    <w:abstractNumId w:val="12"/>
  </w:num>
  <w:num w:numId="11" w16cid:durableId="924143095">
    <w:abstractNumId w:val="1"/>
  </w:num>
  <w:num w:numId="12" w16cid:durableId="26957883">
    <w:abstractNumId w:val="3"/>
  </w:num>
  <w:num w:numId="13" w16cid:durableId="14870183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D2C"/>
    <w:rsid w:val="000A50A3"/>
    <w:rsid w:val="00161035"/>
    <w:rsid w:val="00D01492"/>
    <w:rsid w:val="00E10D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9AB3"/>
  <w15:chartTrackingRefBased/>
  <w15:docId w15:val="{33A993E2-FBED-4AB1-8547-7E06345D4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0D2C"/>
    <w:pPr>
      <w:spacing w:after="200" w:line="276" w:lineRule="auto"/>
    </w:pPr>
    <w:rPr>
      <w:rFonts w:ascii="Calibri" w:eastAsia="Calibri" w:hAnsi="Calibri" w:cs="Calibri"/>
      <w:kern w:val="0"/>
      <w:sz w:val="22"/>
      <w:szCs w:val="22"/>
      <w:lang w:val="en-GB" w:eastAsia="pl-PL"/>
      <w14:ligatures w14:val="none"/>
    </w:rPr>
  </w:style>
  <w:style w:type="paragraph" w:styleId="Nagwek1">
    <w:name w:val="heading 1"/>
    <w:basedOn w:val="Normalny"/>
    <w:next w:val="Normalny"/>
    <w:link w:val="Nagwek1Znak"/>
    <w:uiPriority w:val="9"/>
    <w:qFormat/>
    <w:rsid w:val="00E10D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10D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10D2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10D2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10D2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10D2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10D2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10D2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10D2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10D2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10D2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10D2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10D2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10D2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10D2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10D2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10D2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10D2C"/>
    <w:rPr>
      <w:rFonts w:eastAsiaTheme="majorEastAsia" w:cstheme="majorBidi"/>
      <w:color w:val="272727" w:themeColor="text1" w:themeTint="D8"/>
    </w:rPr>
  </w:style>
  <w:style w:type="paragraph" w:styleId="Tytu">
    <w:name w:val="Title"/>
    <w:basedOn w:val="Normalny"/>
    <w:next w:val="Normalny"/>
    <w:link w:val="TytuZnak"/>
    <w:uiPriority w:val="10"/>
    <w:qFormat/>
    <w:rsid w:val="00E10D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10D2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10D2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10D2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10D2C"/>
    <w:pPr>
      <w:spacing w:before="160"/>
      <w:jc w:val="center"/>
    </w:pPr>
    <w:rPr>
      <w:i/>
      <w:iCs/>
      <w:color w:val="404040" w:themeColor="text1" w:themeTint="BF"/>
    </w:rPr>
  </w:style>
  <w:style w:type="character" w:customStyle="1" w:styleId="CytatZnak">
    <w:name w:val="Cytat Znak"/>
    <w:basedOn w:val="Domylnaczcionkaakapitu"/>
    <w:link w:val="Cytat"/>
    <w:uiPriority w:val="29"/>
    <w:rsid w:val="00E10D2C"/>
    <w:rPr>
      <w:i/>
      <w:iCs/>
      <w:color w:val="404040" w:themeColor="text1" w:themeTint="BF"/>
    </w:rPr>
  </w:style>
  <w:style w:type="paragraph" w:styleId="Akapitzlist">
    <w:name w:val="List Paragraph"/>
    <w:basedOn w:val="Normalny"/>
    <w:uiPriority w:val="34"/>
    <w:qFormat/>
    <w:rsid w:val="00E10D2C"/>
    <w:pPr>
      <w:ind w:left="720"/>
      <w:contextualSpacing/>
    </w:pPr>
  </w:style>
  <w:style w:type="character" w:styleId="Wyrnienieintensywne">
    <w:name w:val="Intense Emphasis"/>
    <w:basedOn w:val="Domylnaczcionkaakapitu"/>
    <w:uiPriority w:val="21"/>
    <w:qFormat/>
    <w:rsid w:val="00E10D2C"/>
    <w:rPr>
      <w:i/>
      <w:iCs/>
      <w:color w:val="0F4761" w:themeColor="accent1" w:themeShade="BF"/>
    </w:rPr>
  </w:style>
  <w:style w:type="paragraph" w:styleId="Cytatintensywny">
    <w:name w:val="Intense Quote"/>
    <w:basedOn w:val="Normalny"/>
    <w:next w:val="Normalny"/>
    <w:link w:val="CytatintensywnyZnak"/>
    <w:uiPriority w:val="30"/>
    <w:qFormat/>
    <w:rsid w:val="00E10D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10D2C"/>
    <w:rPr>
      <w:i/>
      <w:iCs/>
      <w:color w:val="0F4761" w:themeColor="accent1" w:themeShade="BF"/>
    </w:rPr>
  </w:style>
  <w:style w:type="character" w:styleId="Odwoanieintensywne">
    <w:name w:val="Intense Reference"/>
    <w:basedOn w:val="Domylnaczcionkaakapitu"/>
    <w:uiPriority w:val="32"/>
    <w:qFormat/>
    <w:rsid w:val="00E10D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2061</Words>
  <Characters>12368</Characters>
  <Application>Microsoft Office Word</Application>
  <DocSecurity>0</DocSecurity>
  <Lines>103</Lines>
  <Paragraphs>28</Paragraphs>
  <ScaleCrop>false</ScaleCrop>
  <Company/>
  <LinksUpToDate>false</LinksUpToDate>
  <CharactersWithSpaces>14401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Siarhei Kuzniatsou</dc:creator>
  <cp:keywords/>
  <dc:description/>
  <cp:lastModifiedBy>Siarhei Kuzniatsou</cp:lastModifiedBy>
  <cp:revision>1</cp:revision>
  <dcterms:created xsi:type="dcterms:W3CDTF">2026-03-11T16:59:00Z</dcterms:created>
  <dcterms:modified xsi:type="dcterms:W3CDTF">2026-03-11T16:59:00Z</dcterms:modified>
</cp:coreProperties>
</file>